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numbering.xml" ContentType="application/vnd.openxmlformats-officedocument.wordprocessingml.numbering+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Centered18"/>
        <w:spacing w:before="0" w:after="20"/>
        <w:jc w:val="left"/>
        <w:rPr>
          <w:rFonts w:ascii="Impact" w:hAnsi="Impact"/>
          <w:b/>
          <w:b/>
          <w:bCs/>
          <w:sz w:val="44"/>
          <w:szCs w:val="44"/>
        </w:rPr>
      </w:pPr>
      <w:r>
        <w:drawing>
          <wp:anchor behindDoc="0" distT="0" distB="0" distL="114300" distR="114300" simplePos="0" locked="0" layoutInCell="0" allowOverlap="1" relativeHeight="2">
            <wp:simplePos x="0" y="0"/>
            <wp:positionH relativeFrom="column">
              <wp:posOffset>5454650</wp:posOffset>
            </wp:positionH>
            <wp:positionV relativeFrom="page">
              <wp:posOffset>247650</wp:posOffset>
            </wp:positionV>
            <wp:extent cx="1365250" cy="1395730"/>
            <wp:effectExtent l="0" t="0" r="0" b="0"/>
            <wp:wrapTight wrapText="bothSides">
              <wp:wrapPolygon edited="0">
                <wp:start x="-58" y="0"/>
                <wp:lineTo x="-58" y="21172"/>
                <wp:lineTo x="21344" y="21172"/>
                <wp:lineTo x="21344" y="0"/>
                <wp:lineTo x="-58" y="0"/>
              </wp:wrapPolygon>
            </wp:wrapTight>
            <wp:docPr id="1"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
                    <pic:cNvPicPr>
                      <a:picLocks noChangeAspect="1" noChangeArrowheads="1"/>
                    </pic:cNvPicPr>
                  </pic:nvPicPr>
                  <pic:blipFill>
                    <a:blip r:embed="rId2"/>
                    <a:stretch>
                      <a:fillRect/>
                    </a:stretch>
                  </pic:blipFill>
                  <pic:spPr bwMode="auto">
                    <a:xfrm>
                      <a:off x="0" y="0"/>
                      <a:ext cx="1365250" cy="1395730"/>
                    </a:xfrm>
                    <a:prstGeom prst="rect">
                      <a:avLst/>
                    </a:prstGeom>
                  </pic:spPr>
                </pic:pic>
              </a:graphicData>
            </a:graphic>
          </wp:anchor>
        </w:drawing>
      </w:r>
      <w:r>
        <w:rPr>
          <w:b/>
          <w:bCs/>
          <w:sz w:val="44"/>
          <w:szCs w:val="44"/>
        </w:rPr>
        <w:t>Club Med Tignes &amp; Val D’isere, France</w:t>
      </w:r>
    </w:p>
    <w:p>
      <w:pPr>
        <w:pStyle w:val="Centered18"/>
        <w:spacing w:before="0" w:after="20"/>
        <w:jc w:val="center"/>
        <w:rPr/>
      </w:pPr>
      <w:r>
        <w:rPr>
          <w:b/>
          <w:bCs/>
          <w:sz w:val="36"/>
          <w:szCs w:val="36"/>
        </w:rPr>
        <w:t xml:space="preserve">with post trip to Paris </w:t>
      </w:r>
    </w:p>
    <w:p>
      <w:pPr>
        <w:pStyle w:val="Centered18"/>
        <w:spacing w:before="0" w:after="20"/>
        <w:jc w:val="center"/>
        <w:rPr/>
      </w:pPr>
      <w:r>
        <w:rPr>
          <w:b/>
          <w:bCs/>
          <w:sz w:val="32"/>
        </w:rPr>
        <w:t>March 16</w:t>
      </w:r>
      <w:r>
        <w:rPr>
          <w:b/>
          <w:bCs/>
          <w:sz w:val="32"/>
          <w:vertAlign w:val="superscript"/>
        </w:rPr>
        <w:t>th</w:t>
      </w:r>
      <w:r>
        <w:rPr>
          <w:b/>
          <w:bCs/>
          <w:sz w:val="32"/>
        </w:rPr>
        <w:t xml:space="preserve"> to the 28</w:t>
      </w:r>
      <w:r>
        <w:rPr>
          <w:b/>
          <w:bCs/>
          <w:sz w:val="32"/>
          <w:vertAlign w:val="superscript"/>
        </w:rPr>
        <w:t>th</w:t>
      </w:r>
      <w:r>
        <w:rPr>
          <w:b/>
          <w:bCs/>
          <w:sz w:val="32"/>
        </w:rPr>
        <w:t>, 2024</w:t>
      </w:r>
    </w:p>
    <w:p>
      <w:pPr>
        <w:pStyle w:val="Centered18"/>
        <w:spacing w:before="0" w:after="20"/>
        <w:jc w:val="left"/>
        <w:rPr>
          <w:b/>
          <w:b/>
          <w:bCs/>
          <w:sz w:val="32"/>
        </w:rPr>
      </w:pPr>
      <w:r>
        <w:rPr>
          <w:b/>
          <w:bCs/>
          <w:sz w:val="32"/>
        </w:rPr>
      </w:r>
    </w:p>
    <w:p>
      <w:pPr>
        <w:pStyle w:val="TextBody"/>
        <w:rPr>
          <w:sz w:val="28"/>
          <w:szCs w:val="28"/>
        </w:rPr>
      </w:pPr>
      <w:r>
        <w:rPr>
          <w:b/>
          <w:bCs/>
          <w:sz w:val="28"/>
          <w:szCs w:val="28"/>
        </w:rPr>
        <w:t xml:space="preserve">$4,975 </w:t>
      </w:r>
      <w:r>
        <w:rPr>
          <w:b/>
          <w:bCs/>
          <w:color w:val="0070C0"/>
          <w:sz w:val="28"/>
          <w:szCs w:val="28"/>
        </w:rPr>
        <w:t>Regular</w:t>
      </w:r>
      <w:r>
        <w:rPr>
          <w:b/>
          <w:bCs/>
          <w:sz w:val="28"/>
          <w:szCs w:val="28"/>
        </w:rPr>
        <w:t xml:space="preserve"> Price (July 18 &amp; August 15)</w:t>
      </w:r>
    </w:p>
    <w:p>
      <w:pPr>
        <w:pStyle w:val="TextBody"/>
        <w:rPr>
          <w:sz w:val="28"/>
          <w:szCs w:val="28"/>
        </w:rPr>
      </w:pPr>
      <w:r>
        <w:rPr>
          <w:b/>
          <w:bCs/>
          <w:sz w:val="28"/>
          <w:szCs w:val="28"/>
        </w:rPr>
        <w:t xml:space="preserve">$5,050 </w:t>
      </w:r>
      <w:r>
        <w:rPr>
          <w:b/>
          <w:bCs/>
          <w:color w:val="FF0000"/>
          <w:sz w:val="28"/>
          <w:szCs w:val="28"/>
        </w:rPr>
        <w:t>Late</w:t>
      </w:r>
      <w:r>
        <w:rPr>
          <w:b/>
          <w:bCs/>
          <w:sz w:val="28"/>
          <w:szCs w:val="28"/>
        </w:rPr>
        <w:t xml:space="preserve"> Sign-Up Price (Sept. 19 &amp; Oct. 17)</w:t>
      </w:r>
    </w:p>
    <w:p>
      <w:pPr>
        <w:pStyle w:val="Normal"/>
        <w:jc w:val="both"/>
        <w:rPr>
          <w:rFonts w:ascii="Times New Roman" w:hAnsi="Times New Roman"/>
          <w:iCs/>
          <w:sz w:val="22"/>
          <w:szCs w:val="22"/>
        </w:rPr>
      </w:pPr>
      <w:r>
        <w:rPr>
          <w:rFonts w:ascii="Times New Roman" w:hAnsi="Times New Roman"/>
          <w:iCs/>
          <w:sz w:val="22"/>
          <w:szCs w:val="22"/>
        </w:rPr>
      </w:r>
    </w:p>
    <w:p>
      <w:pPr>
        <w:pStyle w:val="Normal"/>
        <w:jc w:val="both"/>
        <w:rPr/>
      </w:pPr>
      <w:r>
        <w:rPr/>
        <w:t xml:space="preserve">The ski resort </w:t>
      </w:r>
      <w:r>
        <w:rPr>
          <w:rStyle w:val="Strong"/>
        </w:rPr>
        <w:t>Tignes/​Val d'Isère</w:t>
      </w:r>
      <w:r>
        <w:rPr/>
        <w:t xml:space="preserve"> is located in the Tarentaise Valley, Savoy region, in the heart of the French Alps. It features 300 km of ski slopes serviced by a total of 79 lifts and sits between the elevations of 1,550 and 3,456 m (5,085 and 11,338 ft). </w:t>
      </w:r>
      <w:bookmarkStart w:id="0" w:name="selText1"/>
      <w:bookmarkEnd w:id="0"/>
      <w:r>
        <w:rPr>
          <w:i w:val="false"/>
          <w:iCs w:val="false"/>
        </w:rPr>
        <w:t>Tignes and Val d'Isère form one of the largest ski resorts in France and was previously called Espace Killy. The ski resort and its slopes are partially located on glaciers. The slopes at the foot of the Pointe du Montet (3,428 m) and the Grande Motte (3,656 m) offers skiing and riding of all difficulty levels. The men's skiing competition for the 1992 Albertville Winter Olympics was held in Val d’Isère. The ski resort also regularly hosts World Cup races. B</w:t>
      </w:r>
      <w:r>
        <w:rPr>
          <w:lang w:val="en-US"/>
        </w:rPr>
        <w:t xml:space="preserve">eing interlinked means </w:t>
      </w:r>
      <w:r>
        <w:rPr>
          <w:b w:val="false"/>
          <w:bCs w:val="false"/>
          <w:lang w:val="en-US"/>
        </w:rPr>
        <w:t>you can ski from the more challenging Tignes to the easier Val d'Isère and back. It is also considered one of the best areas in the world for lift served off-piste runs. With its relatively high elevation, Tignes/Val D’isere is known as one of the most snow-sure ski resorts in Europe with reliable snow from November to May.</w:t>
      </w:r>
    </w:p>
    <w:p>
      <w:pPr>
        <w:pStyle w:val="Normal"/>
        <w:jc w:val="both"/>
        <w:rPr>
          <w:iCs/>
          <w:sz w:val="20"/>
        </w:rPr>
      </w:pPr>
      <w:r>
        <w:rPr>
          <w:iCs/>
          <w:sz w:val="20"/>
        </w:rPr>
      </w:r>
    </w:p>
    <w:p>
      <w:pPr>
        <w:pStyle w:val="Normal"/>
        <w:jc w:val="both"/>
        <w:rPr>
          <w:iCs/>
          <w:sz w:val="20"/>
        </w:rPr>
      </w:pPr>
      <w:r>
        <w:rPr>
          <w:iCs/>
          <w:sz w:val="20"/>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925945" cy="2376805"/>
            <wp:effectExtent l="0" t="0" r="0" b="0"/>
            <wp:wrapSquare wrapText="largest"/>
            <wp:docPr id="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descr=""/>
                    <pic:cNvPicPr>
                      <a:picLocks noChangeAspect="1" noChangeArrowheads="1"/>
                    </pic:cNvPicPr>
                  </pic:nvPicPr>
                  <pic:blipFill>
                    <a:blip r:embed="rId3"/>
                    <a:stretch>
                      <a:fillRect/>
                    </a:stretch>
                  </pic:blipFill>
                  <pic:spPr bwMode="auto">
                    <a:xfrm>
                      <a:off x="0" y="0"/>
                      <a:ext cx="6925945" cy="2376805"/>
                    </a:xfrm>
                    <a:prstGeom prst="rect">
                      <a:avLst/>
                    </a:prstGeom>
                  </pic:spPr>
                </pic:pic>
              </a:graphicData>
            </a:graphic>
          </wp:anchor>
        </w:drawing>
      </w:r>
    </w:p>
    <w:p>
      <w:pPr>
        <w:pStyle w:val="Normal"/>
        <w:jc w:val="center"/>
        <w:rPr>
          <w:rFonts w:ascii="Arial" w:hAnsi="Arial"/>
          <w:iCs/>
          <w:sz w:val="22"/>
          <w:szCs w:val="22"/>
        </w:rPr>
      </w:pPr>
      <w:r>
        <w:rPr>
          <w:rFonts w:ascii="Arial" w:hAnsi="Arial"/>
          <w:iCs/>
          <w:sz w:val="22"/>
          <w:szCs w:val="22"/>
        </w:rPr>
        <w:t>Val D’isere -Tignes Ski Resort Map</w:t>
      </w:r>
    </w:p>
    <w:p>
      <w:pPr>
        <w:pStyle w:val="Normal"/>
        <w:jc w:val="both"/>
        <w:rPr>
          <w:iCs/>
          <w:sz w:val="20"/>
        </w:rPr>
      </w:pPr>
      <w:r>
        <w:rPr>
          <w:iCs/>
          <w:sz w:val="20"/>
        </w:rPr>
      </w:r>
    </w:p>
    <w:p>
      <w:pPr>
        <w:pStyle w:val="Normal"/>
        <w:jc w:val="both"/>
        <w:rPr/>
      </w:pPr>
      <w:r>
        <w:rPr/>
        <w:t xml:space="preserve">We will be staying at the new Four Star </w:t>
      </w:r>
      <w:r>
        <w:rPr>
          <w:b/>
          <w:bCs/>
        </w:rPr>
        <w:t>Club Med Tignes</w:t>
      </w:r>
      <w:r>
        <w:rPr/>
        <w:t xml:space="preserve"> </w:t>
      </w:r>
      <w:r>
        <w:rPr>
          <w:b/>
          <w:bCs/>
        </w:rPr>
        <w:t>Resort</w:t>
      </w:r>
      <w:r>
        <w:rPr>
          <w:b w:val="false"/>
          <w:bCs w:val="false"/>
        </w:rPr>
        <w:t xml:space="preserve">, where </w:t>
      </w:r>
      <w:r>
        <w:rPr/>
        <w:t xml:space="preserve">sport and adrenaline come together in this amazing ski area suited to every skill level. The ambiance is happy and family friendly, right down to the hotel decor where the colors and patterns add pizzazz to the traditional mountain features. Your all-inclusive stay offers three meals per day in the Val Claret restaurant, unlimited snacks, Ski In – Ski Out, all beverages, open bar, wine carafes at dinner, 6 day lift pass (good at both ski resorts) and lessons, yoga sessions (Sothys Spa available at extra cost). Swim in the alps largest indoor pool, relax in the sauna &amp; hot tub. Entertainment includes live music, DJ sets, and live entertainment in the theater that changes nightly.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rFonts w:ascii="Arial" w:hAnsi="Arial"/>
        </w:rPr>
      </w:pPr>
      <w:r>
        <w:rPr>
          <w:rFonts w:ascii="Arial" w:hAnsi="Arial"/>
        </w:rPr>
      </w:r>
    </w:p>
    <w:p>
      <w:pPr>
        <w:pStyle w:val="Normal"/>
        <w:jc w:val="both"/>
        <w:rPr/>
      </w:pPr>
      <w:r>
        <w:rPr>
          <w:b/>
          <w:bCs/>
          <w:sz w:val="26"/>
          <w:szCs w:val="26"/>
        </w:rPr>
        <w:t>The trip price includes</w:t>
      </w:r>
      <w:r>
        <w:rPr/>
        <w:t>:</w:t>
      </w:r>
    </w:p>
    <w:p>
      <w:pPr>
        <w:pStyle w:val="Normal"/>
        <w:jc w:val="both"/>
        <w:rPr/>
      </w:pPr>
      <w:r>
        <w:rPr/>
        <w:t xml:space="preserve">❖  </w:t>
      </w:r>
      <w:r>
        <w:rPr/>
        <w:t>Round trip airfare between Newark and Geneva via Air France (No Air deduct $990.)</w:t>
      </w:r>
    </w:p>
    <w:p>
      <w:pPr>
        <w:pStyle w:val="Normal"/>
        <w:jc w:val="both"/>
        <w:rPr/>
      </w:pPr>
      <w:r>
        <w:rPr/>
        <w:t xml:space="preserve">❖  </w:t>
      </w:r>
      <w:r>
        <w:rPr/>
        <w:t>Round-trip motor coach transportation between Geneva and Club Med Resort</w:t>
      </w:r>
    </w:p>
    <w:p>
      <w:pPr>
        <w:pStyle w:val="Normal"/>
        <w:jc w:val="both"/>
        <w:rPr/>
      </w:pPr>
      <w:r>
        <w:rPr/>
        <w:t xml:space="preserve">❖  </w:t>
      </w:r>
      <w:r>
        <w:rPr/>
        <w:t>7 nights lodging in Superior Rooms based on double occupancy (single supplement, see below)</w:t>
      </w:r>
    </w:p>
    <w:p>
      <w:pPr>
        <w:pStyle w:val="Normal"/>
        <w:jc w:val="both"/>
        <w:rPr/>
      </w:pPr>
      <w:r>
        <w:rPr/>
        <w:t xml:space="preserve">❖  </w:t>
      </w:r>
      <w:r>
        <w:rPr/>
        <w:t>Buffet breakfast, lunch, and dinner daily all-inclusive package</w:t>
      </w:r>
    </w:p>
    <w:p>
      <w:pPr>
        <w:pStyle w:val="Normal"/>
        <w:jc w:val="both"/>
        <w:rPr/>
      </w:pPr>
      <w:r>
        <w:rPr/>
        <w:t xml:space="preserve">❖  </w:t>
      </w:r>
      <w:r>
        <w:rPr/>
        <w:t>Open bar and all day beverages &amp; snacks (premium drinks not included)</w:t>
      </w:r>
    </w:p>
    <w:p>
      <w:pPr>
        <w:pStyle w:val="Normal"/>
        <w:jc w:val="both"/>
        <w:rPr/>
      </w:pPr>
      <w:r>
        <w:rPr/>
        <w:t xml:space="preserve">❖  </w:t>
      </w:r>
      <w:r>
        <w:rPr/>
        <w:t>6-day Adult Lift ticket (for both ski areas) and lessons with Expert lessons or ski guiding based on abilities.</w:t>
      </w:r>
    </w:p>
    <w:p>
      <w:pPr>
        <w:pStyle w:val="Normal"/>
        <w:jc w:val="both"/>
        <w:rPr/>
      </w:pPr>
      <w:r>
        <w:rPr/>
        <w:t xml:space="preserve">❖ </w:t>
      </w:r>
      <w:r>
        <w:rPr/>
        <w:t>Club Med Membership fee</w:t>
      </w:r>
    </w:p>
    <w:p>
      <w:pPr>
        <w:pStyle w:val="Normal"/>
        <w:jc w:val="both"/>
        <w:rPr/>
      </w:pPr>
      <w:r>
        <w:rPr/>
        <w:t xml:space="preserve">❖ </w:t>
      </w:r>
      <w:r>
        <w:rPr/>
        <w:t xml:space="preserve">Paris Extension 4 nights, 5 days March 24-28, 2024 at the 4 star </w:t>
      </w:r>
      <w:r>
        <w:rPr>
          <w:rFonts w:ascii="Arial" w:hAnsi="Arial"/>
          <w:sz w:val="22"/>
          <w:szCs w:val="22"/>
        </w:rPr>
        <w:t xml:space="preserve">Mercure Paris Gare de Lyon TGV </w:t>
      </w:r>
      <w:r>
        <w:rPr>
          <w:rFonts w:ascii="Arial" w:hAnsi="Arial"/>
          <w:sz w:val="22"/>
          <w:szCs w:val="22"/>
        </w:rPr>
        <w:t>H</w:t>
      </w:r>
      <w:r>
        <w:rPr>
          <w:rFonts w:ascii="Arial" w:hAnsi="Arial"/>
          <w:sz w:val="22"/>
          <w:szCs w:val="22"/>
        </w:rPr>
        <w:t>otel</w:t>
      </w:r>
    </w:p>
    <w:p>
      <w:pPr>
        <w:pStyle w:val="Normal"/>
        <w:jc w:val="both"/>
        <w:rPr/>
      </w:pPr>
      <w:r>
        <w:rPr/>
        <w:t xml:space="preserve">❖ </w:t>
      </w:r>
      <w:r>
        <w:rPr/>
        <w:t>True Ski in – Ski out resort with heated ski lockers</w:t>
      </w:r>
    </w:p>
    <w:p>
      <w:pPr>
        <w:pStyle w:val="Normal"/>
        <w:jc w:val="both"/>
        <w:rPr/>
      </w:pPr>
      <w:r>
        <w:rPr/>
        <w:t xml:space="preserve">❖ </w:t>
      </w:r>
      <w:r>
        <w:rPr/>
        <w:t>Rooms include kettle, tea &amp; coffee making facilities, hair dryer &amp; other amenities</w:t>
      </w:r>
    </w:p>
    <w:p>
      <w:pPr>
        <w:pStyle w:val="Normal"/>
        <w:jc w:val="both"/>
        <w:rPr/>
      </w:pPr>
      <w:r>
        <w:rPr/>
        <w:t xml:space="preserve">❖ </w:t>
      </w:r>
      <w:r>
        <w:rPr/>
        <w:t>Free bus service between Tignes &amp; Val D’isere</w:t>
      </w:r>
    </w:p>
    <w:p>
      <w:pPr>
        <w:pStyle w:val="Normal"/>
        <w:jc w:val="both"/>
        <w:rPr/>
      </w:pPr>
      <w:r>
        <w:rPr/>
        <w:t xml:space="preserve">❖ </w:t>
      </w:r>
      <w:r>
        <w:rPr>
          <w:b/>
          <w:bCs/>
        </w:rPr>
        <w:t>NOTE:</w:t>
      </w:r>
      <w:r>
        <w:rPr/>
        <w:t xml:space="preserve"> Trip prices quoted above are for double occupancy. The </w:t>
      </w:r>
      <w:r>
        <w:rPr>
          <w:b/>
          <w:bCs/>
        </w:rPr>
        <w:t>Single Supplement</w:t>
      </w:r>
      <w:r>
        <w:rPr/>
        <w:t xml:space="preserve"> additional cost  is $638. This is for both hotels; Club Med &amp; the Paris Extension.</w:t>
      </w:r>
    </w:p>
    <w:p>
      <w:pPr>
        <w:pStyle w:val="Normal"/>
        <w:jc w:val="both"/>
        <w:rPr>
          <w:iCs/>
          <w:sz w:val="24"/>
          <w:szCs w:val="24"/>
        </w:rPr>
      </w:pPr>
      <w:r>
        <w:rPr>
          <w:iCs/>
          <w:sz w:val="24"/>
          <w:szCs w:val="24"/>
        </w:rPr>
        <w:drawing>
          <wp:anchor behindDoc="0" distT="0" distB="0" distL="0" distR="0" simplePos="0" locked="0" layoutInCell="0" allowOverlap="1" relativeHeight="4">
            <wp:simplePos x="0" y="0"/>
            <wp:positionH relativeFrom="column">
              <wp:posOffset>48895</wp:posOffset>
            </wp:positionH>
            <wp:positionV relativeFrom="paragraph">
              <wp:posOffset>125730</wp:posOffset>
            </wp:positionV>
            <wp:extent cx="2176145" cy="2369185"/>
            <wp:effectExtent l="0" t="0" r="0" b="0"/>
            <wp:wrapSquare wrapText="largest"/>
            <wp:docPr id="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descr=""/>
                    <pic:cNvPicPr>
                      <a:picLocks noChangeAspect="1" noChangeArrowheads="1"/>
                    </pic:cNvPicPr>
                  </pic:nvPicPr>
                  <pic:blipFill>
                    <a:blip r:embed="rId4"/>
                    <a:stretch>
                      <a:fillRect/>
                    </a:stretch>
                  </pic:blipFill>
                  <pic:spPr bwMode="auto">
                    <a:xfrm>
                      <a:off x="0" y="0"/>
                      <a:ext cx="2176145" cy="2369185"/>
                    </a:xfrm>
                    <a:prstGeom prst="rect">
                      <a:avLst/>
                    </a:prstGeom>
                  </pic:spPr>
                </pic:pic>
              </a:graphicData>
            </a:graphic>
          </wp:anchor>
        </w:drawing>
        <w:drawing>
          <wp:anchor behindDoc="0" distT="0" distB="0" distL="0" distR="0" simplePos="0" locked="0" layoutInCell="0" allowOverlap="1" relativeHeight="5">
            <wp:simplePos x="0" y="0"/>
            <wp:positionH relativeFrom="column">
              <wp:posOffset>2345690</wp:posOffset>
            </wp:positionH>
            <wp:positionV relativeFrom="paragraph">
              <wp:posOffset>119380</wp:posOffset>
            </wp:positionV>
            <wp:extent cx="3907155" cy="2372995"/>
            <wp:effectExtent l="0" t="0" r="0" b="0"/>
            <wp:wrapSquare wrapText="largest"/>
            <wp:docPr id="4"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 descr=""/>
                    <pic:cNvPicPr>
                      <a:picLocks noChangeAspect="1" noChangeArrowheads="1"/>
                    </pic:cNvPicPr>
                  </pic:nvPicPr>
                  <pic:blipFill>
                    <a:blip r:embed="rId5"/>
                    <a:srcRect l="0" t="5958" r="14196" b="1078"/>
                    <a:stretch>
                      <a:fillRect/>
                    </a:stretch>
                  </pic:blipFill>
                  <pic:spPr bwMode="auto">
                    <a:xfrm>
                      <a:off x="0" y="0"/>
                      <a:ext cx="3907155" cy="2372995"/>
                    </a:xfrm>
                    <a:prstGeom prst="rect">
                      <a:avLst/>
                    </a:prstGeom>
                  </pic:spPr>
                </pic:pic>
              </a:graphicData>
            </a:graphic>
          </wp:anchor>
        </w:drawing>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sz w:val="26"/>
          <w:szCs w:val="26"/>
        </w:rPr>
      </w:pPr>
      <w:r>
        <w:rPr>
          <w:rFonts w:ascii="Arial" w:hAnsi="Arial"/>
          <w:b/>
          <w:bCs/>
          <w:sz w:val="26"/>
          <w:szCs w:val="26"/>
        </w:rPr>
        <w:t>Paris Extension</w:t>
      </w:r>
    </w:p>
    <w:p>
      <w:pPr>
        <w:pStyle w:val="Normal"/>
        <w:jc w:val="both"/>
        <w:rPr>
          <w:rFonts w:ascii="Arial" w:hAnsi="Arial"/>
          <w:sz w:val="22"/>
          <w:szCs w:val="22"/>
        </w:rPr>
      </w:pPr>
      <w:r>
        <w:rPr>
          <w:rFonts w:ascii="Arial" w:hAnsi="Arial"/>
          <w:sz w:val="22"/>
          <w:szCs w:val="22"/>
        </w:rPr>
      </w:r>
    </w:p>
    <w:p>
      <w:pPr>
        <w:pStyle w:val="TextBody"/>
        <w:jc w:val="both"/>
        <w:rPr>
          <w:rFonts w:ascii="Arial" w:hAnsi="Arial"/>
          <w:i w:val="false"/>
          <w:i w:val="false"/>
          <w:iCs w:val="false"/>
          <w:sz w:val="24"/>
          <w:szCs w:val="24"/>
        </w:rPr>
      </w:pPr>
      <w:r>
        <w:rPr>
          <w:rFonts w:ascii="Arial" w:hAnsi="Arial"/>
          <w:i w:val="false"/>
          <w:iCs w:val="false"/>
          <w:sz w:val="24"/>
          <w:szCs w:val="24"/>
        </w:rPr>
        <w:t xml:space="preserve">At the foot of the Lyon train station, the Mercure Paris Gare de Lyon TGV hotel is ideal for  travelers </w:t>
      </w:r>
      <w:r>
        <w:rPr>
          <w:rFonts w:ascii="Arial" w:hAnsi="Arial"/>
          <w:i w:val="false"/>
          <w:iCs w:val="false"/>
          <w:sz w:val="24"/>
          <w:szCs w:val="24"/>
        </w:rPr>
        <w:t>and</w:t>
      </w:r>
      <w:r>
        <w:rPr>
          <w:rFonts w:ascii="Arial" w:hAnsi="Arial"/>
          <w:i w:val="false"/>
          <w:iCs w:val="false"/>
          <w:sz w:val="24"/>
          <w:szCs w:val="24"/>
        </w:rPr>
        <w:t xml:space="preserve"> a perfect</w:t>
      </w:r>
      <w:r>
        <w:rPr>
          <w:rFonts w:ascii="Arial" w:hAnsi="Arial"/>
          <w:i w:val="false"/>
          <w:iCs w:val="false"/>
          <w:sz w:val="24"/>
          <w:szCs w:val="24"/>
        </w:rPr>
        <w:t xml:space="preserve"> location for your visit to Paris. Lyon Station has lots of transport options </w:t>
      </w:r>
      <w:r>
        <w:rPr>
          <w:rFonts w:ascii="Arial" w:hAnsi="Arial"/>
          <w:i w:val="false"/>
          <w:iCs w:val="false"/>
          <w:sz w:val="24"/>
          <w:szCs w:val="24"/>
        </w:rPr>
        <w:t>an</w:t>
      </w:r>
      <w:r>
        <w:rPr>
          <w:rFonts w:ascii="Arial" w:hAnsi="Arial"/>
          <w:i w:val="false"/>
          <w:iCs w:val="false"/>
          <w:sz w:val="24"/>
          <w:szCs w:val="24"/>
        </w:rPr>
        <w:t>d easy access to the Paris Metro.</w:t>
      </w:r>
      <w:r>
        <w:rPr>
          <w:rFonts w:ascii="Arial" w:hAnsi="Arial"/>
          <w:i w:val="false"/>
          <w:iCs w:val="false"/>
          <w:sz w:val="24"/>
          <w:szCs w:val="24"/>
        </w:rPr>
        <w:t xml:space="preserve">. The </w:t>
      </w:r>
      <w:r>
        <w:rPr>
          <w:rFonts w:ascii="Arial" w:hAnsi="Arial"/>
          <w:i w:val="false"/>
          <w:iCs w:val="false"/>
          <w:sz w:val="24"/>
          <w:szCs w:val="24"/>
        </w:rPr>
        <w:t>Regional Rail Line (</w:t>
      </w:r>
      <w:r>
        <w:rPr>
          <w:rFonts w:ascii="Arial" w:hAnsi="Arial"/>
          <w:i w:val="false"/>
          <w:iCs w:val="false"/>
          <w:sz w:val="24"/>
          <w:szCs w:val="24"/>
        </w:rPr>
        <w:t>RER</w:t>
      </w:r>
      <w:r>
        <w:rPr>
          <w:rFonts w:ascii="Arial" w:hAnsi="Arial"/>
          <w:i w:val="false"/>
          <w:iCs w:val="false"/>
          <w:sz w:val="24"/>
          <w:szCs w:val="24"/>
        </w:rPr>
        <w:t>)</w:t>
      </w:r>
      <w:r>
        <w:rPr>
          <w:rFonts w:ascii="Arial" w:hAnsi="Arial"/>
          <w:i w:val="false"/>
          <w:iCs w:val="false"/>
          <w:sz w:val="24"/>
          <w:szCs w:val="24"/>
        </w:rPr>
        <w:t xml:space="preserve"> provides direct access to the Arc de Triomphe, La Défense and Disneyland, while the metro takes you to Notre-Dame, the Louvre and the Champs-Élysées. A short walk from the hotel takes you to Le Marais, the Seine, Saint Germain-des-Prés, République, Bastille, Coulée Verte or Jardin des Plantes </w:t>
      </w:r>
      <w:r>
        <w:rPr>
          <w:rFonts w:ascii="Arial" w:hAnsi="Arial"/>
          <w:i w:val="false"/>
          <w:iCs w:val="false"/>
          <w:sz w:val="24"/>
          <w:szCs w:val="24"/>
        </w:rPr>
        <w:t>and restaurant and cafe options abound in the surrounding neighborhoods.</w:t>
      </w:r>
    </w:p>
    <w:p>
      <w:pPr>
        <w:pStyle w:val="Normal"/>
        <w:jc w:val="both"/>
        <w:rPr>
          <w:rFonts w:ascii="Arial" w:hAnsi="Arial"/>
          <w:sz w:val="24"/>
          <w:szCs w:val="24"/>
        </w:rPr>
      </w:pPr>
      <w:r>
        <w:rPr>
          <w:rFonts w:ascii="Arial" w:hAnsi="Arial"/>
          <w:i w:val="false"/>
          <w:iCs w:val="false"/>
          <w:sz w:val="24"/>
          <w:szCs w:val="24"/>
        </w:rPr>
        <w:t xml:space="preserve">All rooms are equipped with a SMART TV CHROMECAST, a top-of-the-range bedding, free Wifi and minibar. </w:t>
      </w:r>
      <w:r>
        <w:rPr>
          <w:rFonts w:ascii="Arial" w:hAnsi="Arial"/>
          <w:i w:val="false"/>
          <w:iCs w:val="false"/>
          <w:sz w:val="24"/>
          <w:szCs w:val="24"/>
        </w:rPr>
        <w:t xml:space="preserve">Other amenities include a fitness center, </w:t>
      </w:r>
      <w:r>
        <w:rPr>
          <w:rFonts w:ascii="Arial" w:hAnsi="Arial"/>
          <w:i w:val="false"/>
          <w:iCs w:val="false"/>
          <w:sz w:val="24"/>
          <w:szCs w:val="24"/>
        </w:rPr>
        <w:t xml:space="preserve">Coffee Shop </w:t>
      </w:r>
      <w:r>
        <w:rPr>
          <w:rFonts w:ascii="Arial" w:hAnsi="Arial"/>
          <w:i w:val="false"/>
          <w:iCs w:val="false"/>
          <w:sz w:val="24"/>
          <w:szCs w:val="24"/>
        </w:rPr>
        <w:t>with</w:t>
      </w:r>
      <w:r>
        <w:rPr>
          <w:rFonts w:ascii="Arial" w:hAnsi="Arial"/>
          <w:i w:val="false"/>
          <w:iCs w:val="false"/>
          <w:sz w:val="24"/>
          <w:szCs w:val="24"/>
        </w:rPr>
        <w:t xml:space="preserve"> private terrace, </w:t>
      </w:r>
      <w:r>
        <w:rPr>
          <w:rFonts w:ascii="Arial" w:hAnsi="Arial"/>
          <w:i w:val="false"/>
          <w:iCs w:val="false"/>
          <w:sz w:val="24"/>
          <w:szCs w:val="24"/>
        </w:rPr>
        <w:t>on site bar</w:t>
      </w:r>
      <w:r>
        <w:rPr>
          <w:rFonts w:ascii="Arial" w:hAnsi="Arial"/>
          <w:i w:val="false"/>
          <w:iCs w:val="false"/>
          <w:sz w:val="24"/>
          <w:szCs w:val="24"/>
        </w:rPr>
        <w:t xml:space="preserve"> </w:t>
      </w:r>
      <w:r>
        <w:rPr>
          <w:rFonts w:ascii="Arial" w:hAnsi="Arial"/>
          <w:i w:val="false"/>
          <w:iCs w:val="false"/>
          <w:sz w:val="24"/>
          <w:szCs w:val="24"/>
        </w:rPr>
        <w:t xml:space="preserve">and </w:t>
      </w:r>
      <w:r>
        <w:rPr>
          <w:rFonts w:ascii="Arial" w:hAnsi="Arial"/>
          <w:i w:val="false"/>
          <w:iCs w:val="false"/>
          <w:sz w:val="24"/>
          <w:szCs w:val="24"/>
        </w:rPr>
        <w:t xml:space="preserve">room service. </w:t>
      </w:r>
    </w:p>
    <w:p>
      <w:pPr>
        <w:pStyle w:val="TextBody"/>
        <w:jc w:val="both"/>
        <w:rPr>
          <w:rFonts w:ascii="Arial" w:hAnsi="Arial"/>
          <w:i w:val="false"/>
          <w:i w:val="false"/>
          <w:iCs w:val="false"/>
          <w:sz w:val="22"/>
          <w:szCs w:val="22"/>
        </w:rPr>
      </w:pPr>
      <w:r>
        <w:rPr/>
      </w:r>
    </w:p>
    <w:p>
      <w:pPr>
        <w:pStyle w:val="Normal"/>
        <w:jc w:val="both"/>
        <w:rPr/>
      </w:pPr>
      <w:r>
        <w:rPr/>
        <w:t xml:space="preserve">Paris Package </w:t>
      </w:r>
      <w:r>
        <w:rPr/>
        <w:t>Includes:</w:t>
      </w:r>
    </w:p>
    <w:p>
      <w:pPr>
        <w:pStyle w:val="Normal"/>
        <w:jc w:val="both"/>
        <w:rPr/>
      </w:pPr>
      <w:r>
        <w:rPr/>
        <w:t xml:space="preserve">❖  </w:t>
      </w:r>
      <w:r>
        <w:rPr/>
        <w:t>Round trip transfer from Airport Paris to Hotel</w:t>
      </w:r>
    </w:p>
    <w:p>
      <w:pPr>
        <w:pStyle w:val="Normal"/>
        <w:jc w:val="both"/>
        <w:rPr/>
      </w:pPr>
      <w:r>
        <w:rPr/>
        <w:t xml:space="preserve">❖ </w:t>
      </w:r>
      <w:r>
        <w:rPr/>
        <w:t>4-night accommodations based on double occupancy</w:t>
      </w:r>
    </w:p>
    <w:p>
      <w:pPr>
        <w:pStyle w:val="Normal"/>
        <w:jc w:val="both"/>
        <w:rPr/>
      </w:pPr>
      <w:r>
        <w:rPr/>
        <w:t xml:space="preserve">❖ </w:t>
      </w:r>
      <w:r>
        <w:rPr/>
        <w:t>Coach at disposal 4 hours for city tour Paris including parking fees.</w:t>
      </w:r>
    </w:p>
    <w:p>
      <w:pPr>
        <w:pStyle w:val="Normal"/>
        <w:jc w:val="both"/>
        <w:rPr/>
      </w:pPr>
      <w:r>
        <w:rPr/>
        <w:t xml:space="preserve">❖ </w:t>
      </w:r>
      <w:r>
        <w:rPr/>
        <w:t>English speaking guide for 4 hours for city tour Paris</w:t>
      </w:r>
    </w:p>
    <w:p>
      <w:pPr>
        <w:pStyle w:val="Normal"/>
        <w:jc w:val="both"/>
        <w:rPr/>
      </w:pPr>
      <w:r>
        <w:rPr/>
        <w:t xml:space="preserve">❖ </w:t>
      </w:r>
      <w:r>
        <w:rPr/>
        <w:t>Daily Breakfast</w:t>
      </w:r>
    </w:p>
    <w:p>
      <w:pPr>
        <w:pStyle w:val="Normal"/>
        <w:jc w:val="both"/>
        <w:rPr/>
      </w:pPr>
      <w:r>
        <w:rPr/>
      </w:r>
    </w:p>
    <w:p>
      <w:pPr>
        <w:pStyle w:val="Normal"/>
        <w:jc w:val="both"/>
        <w:rPr/>
      </w:pPr>
      <w:r>
        <w:rPr/>
      </w:r>
    </w:p>
    <w:tbl>
      <w:tblPr>
        <w:tblW w:w="10818"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759"/>
        <w:gridCol w:w="2410"/>
        <w:gridCol w:w="1348"/>
        <w:gridCol w:w="1531"/>
        <w:gridCol w:w="1166"/>
        <w:gridCol w:w="2074"/>
        <w:gridCol w:w="1529"/>
      </w:tblGrid>
      <w:tr>
        <w:trPr>
          <w:trHeight w:val="377" w:hRule="atLeast"/>
          <w:cantSplit w:val="true"/>
        </w:trPr>
        <w:tc>
          <w:tcPr>
            <w:tcW w:w="759" w:type="dxa"/>
            <w:vMerge w:val="restart"/>
            <w:tcBorders>
              <w:top w:val="single" w:sz="4" w:space="0" w:color="000000"/>
              <w:left w:val="single" w:sz="4" w:space="0" w:color="000000"/>
              <w:bottom w:val="single" w:sz="4" w:space="0" w:color="000000"/>
              <w:right w:val="single" w:sz="6" w:space="0" w:color="000000"/>
            </w:tcBorders>
            <w:textDirection w:val="btLr"/>
          </w:tcPr>
          <w:p>
            <w:pPr>
              <w:pStyle w:val="TableHeadingVertical"/>
              <w:widowControl w:val="false"/>
              <w:jc w:val="center"/>
              <w:rPr>
                <w:sz w:val="22"/>
                <w:szCs w:val="22"/>
              </w:rPr>
            </w:pPr>
            <w:r>
              <w:rPr>
                <w:sz w:val="22"/>
                <w:szCs w:val="22"/>
              </w:rPr>
              <w:t>Flight Schedule</w:t>
            </w:r>
          </w:p>
        </w:tc>
        <w:tc>
          <w:tcPr>
            <w:tcW w:w="2410" w:type="dxa"/>
            <w:tcBorders>
              <w:top w:val="single" w:sz="4" w:space="0" w:color="000000"/>
              <w:left w:val="single" w:sz="6" w:space="0" w:color="000000"/>
              <w:bottom w:val="single" w:sz="6" w:space="0" w:color="000000"/>
              <w:right w:val="single" w:sz="6" w:space="0" w:color="000000"/>
            </w:tcBorders>
            <w:vAlign w:val="bottom"/>
          </w:tcPr>
          <w:p>
            <w:pPr>
              <w:pStyle w:val="ColumnTitle"/>
              <w:widowControl w:val="false"/>
              <w:spacing w:before="40" w:after="20"/>
              <w:jc w:val="center"/>
              <w:rPr>
                <w:u w:val="none"/>
              </w:rPr>
            </w:pPr>
            <w:r>
              <w:rPr>
                <w:u w:val="none"/>
              </w:rPr>
              <w:t>Date</w:t>
            </w:r>
          </w:p>
        </w:tc>
        <w:tc>
          <w:tcPr>
            <w:tcW w:w="1348" w:type="dxa"/>
            <w:tcBorders>
              <w:top w:val="single" w:sz="4" w:space="0" w:color="000000"/>
              <w:left w:val="single" w:sz="6" w:space="0" w:color="000000"/>
              <w:bottom w:val="single" w:sz="6" w:space="0" w:color="000000"/>
              <w:right w:val="single" w:sz="6" w:space="0" w:color="000000"/>
            </w:tcBorders>
            <w:vAlign w:val="bottom"/>
          </w:tcPr>
          <w:p>
            <w:pPr>
              <w:pStyle w:val="ColumnTitle"/>
              <w:widowControl w:val="false"/>
              <w:spacing w:before="40" w:after="20"/>
              <w:jc w:val="center"/>
              <w:rPr>
                <w:u w:val="none"/>
              </w:rPr>
            </w:pPr>
            <w:r>
              <w:rPr>
                <w:u w:val="none"/>
              </w:rPr>
              <w:t>Airline</w:t>
            </w:r>
          </w:p>
        </w:tc>
        <w:tc>
          <w:tcPr>
            <w:tcW w:w="1531" w:type="dxa"/>
            <w:tcBorders>
              <w:top w:val="single" w:sz="4" w:space="0" w:color="000000"/>
              <w:left w:val="single" w:sz="6" w:space="0" w:color="000000"/>
              <w:bottom w:val="single" w:sz="6" w:space="0" w:color="000000"/>
              <w:right w:val="single" w:sz="6" w:space="0" w:color="000000"/>
            </w:tcBorders>
            <w:vAlign w:val="bottom"/>
          </w:tcPr>
          <w:p>
            <w:pPr>
              <w:pStyle w:val="ColumnTitle"/>
              <w:widowControl w:val="false"/>
              <w:spacing w:before="40" w:after="20"/>
              <w:jc w:val="center"/>
              <w:rPr>
                <w:u w:val="none"/>
              </w:rPr>
            </w:pPr>
            <w:r>
              <w:rPr>
                <w:u w:val="none"/>
              </w:rPr>
              <w:t>Depart</w:t>
            </w:r>
          </w:p>
        </w:tc>
        <w:tc>
          <w:tcPr>
            <w:tcW w:w="1166" w:type="dxa"/>
            <w:tcBorders>
              <w:top w:val="single" w:sz="4" w:space="0" w:color="000000"/>
              <w:left w:val="single" w:sz="6" w:space="0" w:color="000000"/>
              <w:bottom w:val="single" w:sz="6" w:space="0" w:color="000000"/>
              <w:right w:val="single" w:sz="6" w:space="0" w:color="000000"/>
            </w:tcBorders>
            <w:vAlign w:val="bottom"/>
          </w:tcPr>
          <w:p>
            <w:pPr>
              <w:pStyle w:val="ColumnTitle"/>
              <w:widowControl w:val="false"/>
              <w:spacing w:before="40" w:after="20"/>
              <w:jc w:val="center"/>
              <w:rPr>
                <w:u w:val="none"/>
              </w:rPr>
            </w:pPr>
            <w:r>
              <w:rPr>
                <w:u w:val="none"/>
              </w:rPr>
              <w:t>Time</w:t>
            </w:r>
          </w:p>
        </w:tc>
        <w:tc>
          <w:tcPr>
            <w:tcW w:w="2074" w:type="dxa"/>
            <w:tcBorders>
              <w:top w:val="single" w:sz="4" w:space="0" w:color="000000"/>
              <w:left w:val="single" w:sz="6" w:space="0" w:color="000000"/>
              <w:bottom w:val="single" w:sz="6" w:space="0" w:color="000000"/>
              <w:right w:val="single" w:sz="6" w:space="0" w:color="000000"/>
            </w:tcBorders>
            <w:vAlign w:val="bottom"/>
          </w:tcPr>
          <w:p>
            <w:pPr>
              <w:pStyle w:val="ColumnTitle"/>
              <w:widowControl w:val="false"/>
              <w:spacing w:before="40" w:after="20"/>
              <w:jc w:val="center"/>
              <w:rPr>
                <w:u w:val="none"/>
              </w:rPr>
            </w:pPr>
            <w:r>
              <w:rPr>
                <w:u w:val="none"/>
              </w:rPr>
              <w:t>Arrive</w:t>
            </w:r>
          </w:p>
        </w:tc>
        <w:tc>
          <w:tcPr>
            <w:tcW w:w="1529" w:type="dxa"/>
            <w:tcBorders>
              <w:top w:val="single" w:sz="4" w:space="0" w:color="000000"/>
              <w:left w:val="single" w:sz="6" w:space="0" w:color="000000"/>
              <w:bottom w:val="single" w:sz="6" w:space="0" w:color="000000"/>
              <w:right w:val="single" w:sz="4" w:space="0" w:color="000000"/>
            </w:tcBorders>
            <w:vAlign w:val="bottom"/>
          </w:tcPr>
          <w:p>
            <w:pPr>
              <w:pStyle w:val="ColumnTitle"/>
              <w:widowControl w:val="false"/>
              <w:spacing w:before="40" w:after="20"/>
              <w:jc w:val="center"/>
              <w:rPr>
                <w:u w:val="none"/>
              </w:rPr>
            </w:pPr>
            <w:r>
              <w:rPr>
                <w:u w:val="none"/>
              </w:rPr>
              <w:t>Time</w:t>
            </w:r>
          </w:p>
        </w:tc>
      </w:tr>
      <w:tr>
        <w:trPr>
          <w:trHeight w:val="537" w:hRule="exact"/>
          <w:cantSplit w:val="true"/>
        </w:trPr>
        <w:tc>
          <w:tcPr>
            <w:tcW w:w="759" w:type="dxa"/>
            <w:vMerge w:val="continue"/>
            <w:tcBorders>
              <w:top w:val="single" w:sz="6" w:space="0" w:color="000000"/>
              <w:left w:val="single" w:sz="4" w:space="0" w:color="000000"/>
              <w:bottom w:val="single" w:sz="6" w:space="0" w:color="000000"/>
              <w:right w:val="single" w:sz="6" w:space="0" w:color="000000"/>
            </w:tcBorders>
          </w:tcPr>
          <w:p>
            <w:pPr>
              <w:pStyle w:val="Normal"/>
              <w:widowControl w:val="false"/>
              <w:rPr>
                <w:sz w:val="18"/>
              </w:rPr>
            </w:pPr>
            <w:r>
              <w:rPr>
                <w:sz w:val="18"/>
              </w:rPr>
            </w:r>
          </w:p>
        </w:tc>
        <w:tc>
          <w:tcPr>
            <w:tcW w:w="2410" w:type="dxa"/>
            <w:tcBorders>
              <w:top w:val="single" w:sz="6" w:space="0" w:color="000000"/>
              <w:left w:val="single" w:sz="6" w:space="0" w:color="000000"/>
              <w:bottom w:val="single" w:sz="6" w:space="0" w:color="000000"/>
              <w:right w:val="single" w:sz="6" w:space="0" w:color="000000"/>
            </w:tcBorders>
            <w:vAlign w:val="bottom"/>
          </w:tcPr>
          <w:p>
            <w:pPr>
              <w:pStyle w:val="Normal"/>
              <w:widowControl w:val="false"/>
              <w:rPr>
                <w:rFonts w:cs="Helvetica"/>
                <w:sz w:val="20"/>
              </w:rPr>
            </w:pPr>
            <w:r>
              <w:rPr>
                <w:rFonts w:cs="Helvetica"/>
                <w:sz w:val="20"/>
              </w:rPr>
              <w:t>Saturday, March 16</w:t>
            </w:r>
          </w:p>
        </w:tc>
        <w:tc>
          <w:tcPr>
            <w:tcW w:w="1348" w:type="dxa"/>
            <w:tcBorders>
              <w:top w:val="single" w:sz="6" w:space="0" w:color="000000"/>
              <w:left w:val="single" w:sz="6" w:space="0" w:color="000000"/>
              <w:bottom w:val="single" w:sz="6" w:space="0" w:color="000000"/>
              <w:right w:val="single" w:sz="6" w:space="0" w:color="000000"/>
            </w:tcBorders>
            <w:vAlign w:val="bottom"/>
          </w:tcPr>
          <w:p>
            <w:pPr>
              <w:pStyle w:val="Normal"/>
              <w:widowControl w:val="false"/>
              <w:jc w:val="center"/>
              <w:rPr>
                <w:rFonts w:cs="Helvetica"/>
                <w:sz w:val="20"/>
              </w:rPr>
            </w:pPr>
            <w:r>
              <w:rPr>
                <w:rFonts w:cs="Helvetica"/>
                <w:sz w:val="20"/>
              </w:rPr>
              <w:t>Air France</w:t>
            </w:r>
          </w:p>
        </w:tc>
        <w:tc>
          <w:tcPr>
            <w:tcW w:w="1531" w:type="dxa"/>
            <w:tcBorders>
              <w:top w:val="single" w:sz="6" w:space="0" w:color="000000"/>
              <w:left w:val="single" w:sz="6" w:space="0" w:color="000000"/>
              <w:bottom w:val="single" w:sz="6" w:space="0" w:color="000000"/>
              <w:right w:val="single" w:sz="6" w:space="0" w:color="000000"/>
            </w:tcBorders>
            <w:vAlign w:val="bottom"/>
          </w:tcPr>
          <w:p>
            <w:pPr>
              <w:pStyle w:val="Normal"/>
              <w:widowControl w:val="false"/>
              <w:jc w:val="center"/>
              <w:rPr>
                <w:rFonts w:cs="Helvetica"/>
                <w:sz w:val="20"/>
              </w:rPr>
            </w:pPr>
            <w:r>
              <w:rPr>
                <w:rFonts w:cs="Helvetica"/>
                <w:sz w:val="20"/>
              </w:rPr>
              <w:t>Newark</w:t>
            </w:r>
          </w:p>
        </w:tc>
        <w:tc>
          <w:tcPr>
            <w:tcW w:w="1166" w:type="dxa"/>
            <w:tcBorders>
              <w:top w:val="single" w:sz="6" w:space="0" w:color="000000"/>
              <w:left w:val="single" w:sz="6" w:space="0" w:color="000000"/>
              <w:bottom w:val="single" w:sz="6" w:space="0" w:color="000000"/>
              <w:right w:val="single" w:sz="6" w:space="0" w:color="000000"/>
            </w:tcBorders>
            <w:vAlign w:val="bottom"/>
          </w:tcPr>
          <w:p>
            <w:pPr>
              <w:pStyle w:val="Normal"/>
              <w:widowControl w:val="false"/>
              <w:jc w:val="center"/>
              <w:rPr>
                <w:rFonts w:cs="Helvetica"/>
                <w:sz w:val="20"/>
              </w:rPr>
            </w:pPr>
            <w:r>
              <w:rPr>
                <w:rFonts w:cs="Helvetica"/>
                <w:sz w:val="20"/>
              </w:rPr>
              <w:t>05:00 pm</w:t>
            </w:r>
          </w:p>
        </w:tc>
        <w:tc>
          <w:tcPr>
            <w:tcW w:w="2074" w:type="dxa"/>
            <w:tcBorders>
              <w:top w:val="single" w:sz="6" w:space="0" w:color="000000"/>
              <w:left w:val="single" w:sz="6" w:space="0" w:color="000000"/>
              <w:bottom w:val="single" w:sz="6" w:space="0" w:color="000000"/>
              <w:right w:val="single" w:sz="6" w:space="0" w:color="000000"/>
            </w:tcBorders>
            <w:vAlign w:val="bottom"/>
          </w:tcPr>
          <w:p>
            <w:pPr>
              <w:pStyle w:val="Normal"/>
              <w:widowControl w:val="false"/>
              <w:jc w:val="center"/>
              <w:rPr>
                <w:rFonts w:cs="Helvetica"/>
                <w:sz w:val="20"/>
              </w:rPr>
            </w:pPr>
            <w:r>
              <w:rPr>
                <w:rFonts w:cs="Helvetica"/>
                <w:sz w:val="20"/>
              </w:rPr>
              <w:t>Geneva</w:t>
            </w:r>
          </w:p>
        </w:tc>
        <w:tc>
          <w:tcPr>
            <w:tcW w:w="1529" w:type="dxa"/>
            <w:tcBorders>
              <w:top w:val="single" w:sz="6" w:space="0" w:color="000000"/>
              <w:left w:val="single" w:sz="6" w:space="0" w:color="000000"/>
              <w:bottom w:val="single" w:sz="6" w:space="0" w:color="000000"/>
              <w:right w:val="single" w:sz="4" w:space="0" w:color="000000"/>
            </w:tcBorders>
            <w:vAlign w:val="bottom"/>
          </w:tcPr>
          <w:p>
            <w:pPr>
              <w:pStyle w:val="Normal"/>
              <w:widowControl w:val="false"/>
              <w:jc w:val="center"/>
              <w:rPr>
                <w:rFonts w:ascii="Arial" w:hAnsi="Arial" w:cs="Arial"/>
                <w:sz w:val="20"/>
              </w:rPr>
            </w:pPr>
            <w:r>
              <w:rPr>
                <w:rFonts w:cs="Arial" w:ascii="Arial" w:hAnsi="Arial"/>
                <w:sz w:val="20"/>
              </w:rPr>
            </w:r>
          </w:p>
          <w:p>
            <w:pPr>
              <w:pStyle w:val="Normal"/>
              <w:widowControl w:val="false"/>
              <w:jc w:val="center"/>
              <w:rPr>
                <w:rFonts w:cs="Helvetica"/>
                <w:sz w:val="20"/>
              </w:rPr>
            </w:pPr>
            <w:r>
              <w:rPr>
                <w:rFonts w:cs="Helvetica"/>
                <w:sz w:val="20"/>
              </w:rPr>
              <w:t>06:10 am</w:t>
            </w:r>
          </w:p>
          <w:p>
            <w:pPr>
              <w:pStyle w:val="Normal"/>
              <w:widowControl w:val="false"/>
              <w:jc w:val="center"/>
              <w:rPr>
                <w:rFonts w:ascii="Arial" w:hAnsi="Arial" w:cs="Arial"/>
                <w:sz w:val="20"/>
              </w:rPr>
            </w:pPr>
            <w:r>
              <w:rPr>
                <w:rFonts w:cs="Arial" w:ascii="Arial" w:hAnsi="Arial"/>
                <w:sz w:val="20"/>
              </w:rPr>
            </w:r>
          </w:p>
        </w:tc>
      </w:tr>
      <w:tr>
        <w:trPr>
          <w:trHeight w:val="365" w:hRule="exact"/>
          <w:cantSplit w:val="true"/>
        </w:trPr>
        <w:tc>
          <w:tcPr>
            <w:tcW w:w="759" w:type="dxa"/>
            <w:vMerge w:val="continue"/>
            <w:tcBorders>
              <w:top w:val="single" w:sz="6" w:space="0" w:color="000000"/>
              <w:left w:val="single" w:sz="4" w:space="0" w:color="000000"/>
              <w:bottom w:val="single" w:sz="6" w:space="0" w:color="000000"/>
              <w:right w:val="single" w:sz="6" w:space="0" w:color="000000"/>
            </w:tcBorders>
          </w:tcPr>
          <w:p>
            <w:pPr>
              <w:pStyle w:val="Normal"/>
              <w:widowControl w:val="false"/>
              <w:rPr>
                <w:sz w:val="18"/>
              </w:rPr>
            </w:pPr>
            <w:r>
              <w:rPr>
                <w:sz w:val="18"/>
              </w:rPr>
            </w:r>
          </w:p>
        </w:tc>
        <w:tc>
          <w:tcPr>
            <w:tcW w:w="2410" w:type="dxa"/>
            <w:tcBorders>
              <w:top w:val="single" w:sz="6" w:space="0" w:color="000000"/>
              <w:left w:val="single" w:sz="6" w:space="0" w:color="000000"/>
              <w:bottom w:val="single" w:sz="6" w:space="0" w:color="000000"/>
              <w:right w:val="single" w:sz="6" w:space="0" w:color="000000"/>
            </w:tcBorders>
            <w:vAlign w:val="bottom"/>
          </w:tcPr>
          <w:p>
            <w:pPr>
              <w:pStyle w:val="Normal"/>
              <w:widowControl w:val="false"/>
              <w:rPr>
                <w:rFonts w:cs="Helvetica"/>
                <w:sz w:val="20"/>
              </w:rPr>
            </w:pPr>
            <w:r>
              <w:rPr>
                <w:rFonts w:cs="Helvetica"/>
                <w:sz w:val="20"/>
              </w:rPr>
              <w:t>Sunday March 24</w:t>
            </w:r>
          </w:p>
        </w:tc>
        <w:tc>
          <w:tcPr>
            <w:tcW w:w="1348" w:type="dxa"/>
            <w:tcBorders>
              <w:top w:val="single" w:sz="6" w:space="0" w:color="000000"/>
              <w:left w:val="single" w:sz="6" w:space="0" w:color="000000"/>
              <w:bottom w:val="single" w:sz="6" w:space="0" w:color="000000"/>
              <w:right w:val="single" w:sz="6" w:space="0" w:color="000000"/>
            </w:tcBorders>
            <w:vAlign w:val="bottom"/>
          </w:tcPr>
          <w:p>
            <w:pPr>
              <w:pStyle w:val="Normal"/>
              <w:widowControl w:val="false"/>
              <w:jc w:val="center"/>
              <w:rPr>
                <w:rFonts w:cs="Helvetica"/>
                <w:sz w:val="20"/>
              </w:rPr>
            </w:pPr>
            <w:r>
              <w:rPr>
                <w:rFonts w:cs="Helvetica"/>
                <w:sz w:val="20"/>
              </w:rPr>
              <w:t>Air France</w:t>
            </w:r>
          </w:p>
        </w:tc>
        <w:tc>
          <w:tcPr>
            <w:tcW w:w="1531" w:type="dxa"/>
            <w:tcBorders>
              <w:top w:val="single" w:sz="6" w:space="0" w:color="000000"/>
              <w:left w:val="single" w:sz="6" w:space="0" w:color="000000"/>
              <w:bottom w:val="single" w:sz="6" w:space="0" w:color="000000"/>
              <w:right w:val="single" w:sz="6" w:space="0" w:color="000000"/>
            </w:tcBorders>
            <w:vAlign w:val="bottom"/>
          </w:tcPr>
          <w:p>
            <w:pPr>
              <w:pStyle w:val="Normal"/>
              <w:widowControl w:val="false"/>
              <w:jc w:val="center"/>
              <w:rPr>
                <w:rFonts w:cs="Helvetica"/>
                <w:sz w:val="20"/>
              </w:rPr>
            </w:pPr>
            <w:r>
              <w:rPr>
                <w:rFonts w:cs="Helvetica"/>
                <w:sz w:val="20"/>
              </w:rPr>
              <w:t>Geneva</w:t>
            </w:r>
          </w:p>
        </w:tc>
        <w:tc>
          <w:tcPr>
            <w:tcW w:w="1166" w:type="dxa"/>
            <w:tcBorders>
              <w:top w:val="single" w:sz="6" w:space="0" w:color="000000"/>
              <w:left w:val="single" w:sz="6" w:space="0" w:color="000000"/>
              <w:bottom w:val="single" w:sz="6" w:space="0" w:color="000000"/>
              <w:right w:val="single" w:sz="6" w:space="0" w:color="000000"/>
            </w:tcBorders>
            <w:vAlign w:val="bottom"/>
          </w:tcPr>
          <w:p>
            <w:pPr>
              <w:pStyle w:val="Normal"/>
              <w:widowControl w:val="false"/>
              <w:jc w:val="center"/>
              <w:rPr>
                <w:rFonts w:cs="Helvetica"/>
                <w:sz w:val="20"/>
              </w:rPr>
            </w:pPr>
            <w:r>
              <w:rPr>
                <w:rFonts w:cs="Helvetica"/>
                <w:sz w:val="20"/>
              </w:rPr>
              <w:t xml:space="preserve"> </w:t>
            </w:r>
            <w:r>
              <w:rPr>
                <w:rFonts w:cs="Helvetica"/>
                <w:sz w:val="20"/>
              </w:rPr>
              <w:t>12:05 pm</w:t>
            </w:r>
          </w:p>
        </w:tc>
        <w:tc>
          <w:tcPr>
            <w:tcW w:w="2074" w:type="dxa"/>
            <w:tcBorders>
              <w:top w:val="single" w:sz="6" w:space="0" w:color="000000"/>
              <w:left w:val="single" w:sz="6" w:space="0" w:color="000000"/>
              <w:bottom w:val="single" w:sz="6" w:space="0" w:color="000000"/>
              <w:right w:val="single" w:sz="6" w:space="0" w:color="000000"/>
            </w:tcBorders>
            <w:vAlign w:val="bottom"/>
          </w:tcPr>
          <w:p>
            <w:pPr>
              <w:pStyle w:val="Normal"/>
              <w:widowControl w:val="false"/>
              <w:jc w:val="center"/>
              <w:rPr>
                <w:rFonts w:cs="Helvetica"/>
                <w:sz w:val="20"/>
              </w:rPr>
            </w:pPr>
            <w:r>
              <w:rPr>
                <w:rFonts w:cs="Helvetica"/>
                <w:sz w:val="20"/>
              </w:rPr>
              <w:t>Paris</w:t>
            </w:r>
          </w:p>
        </w:tc>
        <w:tc>
          <w:tcPr>
            <w:tcW w:w="1529" w:type="dxa"/>
            <w:tcBorders>
              <w:top w:val="single" w:sz="6" w:space="0" w:color="000000"/>
              <w:left w:val="single" w:sz="6" w:space="0" w:color="000000"/>
              <w:bottom w:val="single" w:sz="6" w:space="0" w:color="000000"/>
              <w:right w:val="single" w:sz="4" w:space="0" w:color="000000"/>
            </w:tcBorders>
            <w:vAlign w:val="bottom"/>
          </w:tcPr>
          <w:p>
            <w:pPr>
              <w:pStyle w:val="Normal"/>
              <w:widowControl w:val="false"/>
              <w:jc w:val="center"/>
              <w:rPr>
                <w:rFonts w:cs="Helvetica"/>
                <w:sz w:val="20"/>
              </w:rPr>
            </w:pPr>
            <w:r>
              <w:rPr>
                <w:rFonts w:cs="Helvetica"/>
                <w:sz w:val="20"/>
              </w:rPr>
              <w:t>01:25 pm</w:t>
            </w:r>
          </w:p>
        </w:tc>
      </w:tr>
      <w:tr>
        <w:trPr>
          <w:trHeight w:val="365" w:hRule="exact"/>
          <w:cantSplit w:val="true"/>
        </w:trPr>
        <w:tc>
          <w:tcPr>
            <w:tcW w:w="759" w:type="dxa"/>
            <w:vMerge w:val="continue"/>
            <w:tcBorders>
              <w:left w:val="single" w:sz="4" w:space="0" w:color="000000"/>
              <w:bottom w:val="single" w:sz="6" w:space="0" w:color="000000"/>
              <w:right w:val="single" w:sz="6" w:space="0" w:color="000000"/>
            </w:tcBorders>
          </w:tcPr>
          <w:p>
            <w:pPr>
              <w:pStyle w:val="Normal"/>
              <w:widowControl w:val="false"/>
              <w:rPr>
                <w:sz w:val="18"/>
              </w:rPr>
            </w:pPr>
            <w:r>
              <w:rPr>
                <w:sz w:val="18"/>
              </w:rPr>
            </w:r>
          </w:p>
        </w:tc>
        <w:tc>
          <w:tcPr>
            <w:tcW w:w="2410" w:type="dxa"/>
            <w:tcBorders>
              <w:left w:val="single" w:sz="6" w:space="0" w:color="000000"/>
              <w:bottom w:val="single" w:sz="6" w:space="0" w:color="000000"/>
              <w:right w:val="single" w:sz="6" w:space="0" w:color="000000"/>
            </w:tcBorders>
            <w:vAlign w:val="bottom"/>
          </w:tcPr>
          <w:p>
            <w:pPr>
              <w:pStyle w:val="Normal"/>
              <w:widowControl w:val="false"/>
              <w:rPr>
                <w:rFonts w:cs="Helvetica"/>
                <w:sz w:val="20"/>
              </w:rPr>
            </w:pPr>
            <w:r>
              <w:rPr>
                <w:sz w:val="22"/>
                <w:szCs w:val="22"/>
              </w:rPr>
              <w:t>Thursday</w:t>
            </w:r>
            <w:r>
              <w:rPr>
                <w:rFonts w:cs="Helvetica"/>
                <w:sz w:val="20"/>
              </w:rPr>
              <w:t>, March 28</w:t>
            </w:r>
            <w:r>
              <w:rPr>
                <w:rFonts w:cs="Helvetica"/>
                <w:sz w:val="20"/>
                <w:vertAlign w:val="superscript"/>
              </w:rPr>
              <w:t>th</w:t>
            </w:r>
            <w:r>
              <w:rPr>
                <w:rFonts w:cs="Helvetica"/>
                <w:sz w:val="20"/>
              </w:rPr>
              <w:t xml:space="preserve"> </w:t>
            </w:r>
          </w:p>
        </w:tc>
        <w:tc>
          <w:tcPr>
            <w:tcW w:w="1348" w:type="dxa"/>
            <w:tcBorders>
              <w:left w:val="single" w:sz="6" w:space="0" w:color="000000"/>
              <w:bottom w:val="single" w:sz="6" w:space="0" w:color="000000"/>
              <w:right w:val="single" w:sz="6" w:space="0" w:color="000000"/>
            </w:tcBorders>
            <w:vAlign w:val="bottom"/>
          </w:tcPr>
          <w:p>
            <w:pPr>
              <w:pStyle w:val="Normal"/>
              <w:widowControl w:val="false"/>
              <w:jc w:val="center"/>
              <w:rPr>
                <w:sz w:val="20"/>
                <w:szCs w:val="20"/>
              </w:rPr>
            </w:pPr>
            <w:r>
              <w:rPr>
                <w:sz w:val="20"/>
                <w:szCs w:val="20"/>
              </w:rPr>
              <w:t>Air France</w:t>
            </w:r>
          </w:p>
        </w:tc>
        <w:tc>
          <w:tcPr>
            <w:tcW w:w="1531" w:type="dxa"/>
            <w:tcBorders>
              <w:left w:val="single" w:sz="6" w:space="0" w:color="000000"/>
              <w:bottom w:val="single" w:sz="6" w:space="0" w:color="000000"/>
              <w:right w:val="single" w:sz="6" w:space="0" w:color="000000"/>
            </w:tcBorders>
            <w:vAlign w:val="bottom"/>
          </w:tcPr>
          <w:p>
            <w:pPr>
              <w:pStyle w:val="Normal"/>
              <w:widowControl w:val="false"/>
              <w:jc w:val="center"/>
              <w:rPr>
                <w:sz w:val="20"/>
                <w:szCs w:val="20"/>
              </w:rPr>
            </w:pPr>
            <w:r>
              <w:rPr>
                <w:sz w:val="20"/>
                <w:szCs w:val="20"/>
              </w:rPr>
              <w:t>Paris</w:t>
            </w:r>
          </w:p>
        </w:tc>
        <w:tc>
          <w:tcPr>
            <w:tcW w:w="1166" w:type="dxa"/>
            <w:tcBorders>
              <w:left w:val="single" w:sz="6" w:space="0" w:color="000000"/>
              <w:bottom w:val="single" w:sz="6" w:space="0" w:color="000000"/>
              <w:right w:val="single" w:sz="6" w:space="0" w:color="000000"/>
            </w:tcBorders>
            <w:vAlign w:val="bottom"/>
          </w:tcPr>
          <w:p>
            <w:pPr>
              <w:pStyle w:val="Normal"/>
              <w:widowControl w:val="false"/>
              <w:jc w:val="center"/>
              <w:rPr>
                <w:rFonts w:cs="Helvetica"/>
                <w:sz w:val="20"/>
              </w:rPr>
            </w:pPr>
            <w:r>
              <w:rPr>
                <w:rFonts w:cs="Helvetica"/>
                <w:sz w:val="20"/>
              </w:rPr>
              <w:t>12:30 pm</w:t>
            </w:r>
          </w:p>
        </w:tc>
        <w:tc>
          <w:tcPr>
            <w:tcW w:w="2074" w:type="dxa"/>
            <w:tcBorders>
              <w:left w:val="single" w:sz="6" w:space="0" w:color="000000"/>
              <w:bottom w:val="single" w:sz="6" w:space="0" w:color="000000"/>
              <w:right w:val="single" w:sz="6" w:space="0" w:color="000000"/>
            </w:tcBorders>
            <w:vAlign w:val="bottom"/>
          </w:tcPr>
          <w:p>
            <w:pPr>
              <w:pStyle w:val="Normal"/>
              <w:widowControl w:val="false"/>
              <w:jc w:val="center"/>
              <w:rPr>
                <w:rFonts w:cs="Helvetica"/>
                <w:sz w:val="20"/>
              </w:rPr>
            </w:pPr>
            <w:r>
              <w:rPr>
                <w:rFonts w:cs="Helvetica"/>
                <w:sz w:val="20"/>
              </w:rPr>
              <w:t>Newark</w:t>
            </w:r>
          </w:p>
        </w:tc>
        <w:tc>
          <w:tcPr>
            <w:tcW w:w="1529" w:type="dxa"/>
            <w:tcBorders>
              <w:left w:val="single" w:sz="6" w:space="0" w:color="000000"/>
              <w:bottom w:val="single" w:sz="6" w:space="0" w:color="000000"/>
              <w:right w:val="single" w:sz="4" w:space="0" w:color="000000"/>
            </w:tcBorders>
            <w:vAlign w:val="bottom"/>
          </w:tcPr>
          <w:p>
            <w:pPr>
              <w:pStyle w:val="Normal"/>
              <w:widowControl w:val="false"/>
              <w:jc w:val="center"/>
              <w:rPr>
                <w:rFonts w:cs="Helvetica"/>
                <w:sz w:val="20"/>
              </w:rPr>
            </w:pPr>
            <w:r>
              <w:rPr>
                <w:rFonts w:cs="Helvetica"/>
                <w:sz w:val="20"/>
              </w:rPr>
              <w:t>04:00 pm</w:t>
            </w:r>
          </w:p>
        </w:tc>
      </w:tr>
      <w:tr>
        <w:trPr>
          <w:trHeight w:val="450" w:hRule="exact"/>
          <w:cantSplit w:val="true"/>
        </w:trPr>
        <w:tc>
          <w:tcPr>
            <w:tcW w:w="759" w:type="dxa"/>
            <w:vMerge w:val="continue"/>
            <w:tcBorders>
              <w:top w:val="single" w:sz="6" w:space="0" w:color="000000"/>
              <w:left w:val="single" w:sz="4" w:space="0" w:color="000000"/>
              <w:bottom w:val="single" w:sz="4" w:space="0" w:color="000000"/>
              <w:right w:val="single" w:sz="6" w:space="0" w:color="000000"/>
            </w:tcBorders>
          </w:tcPr>
          <w:p>
            <w:pPr>
              <w:pStyle w:val="PaymentSchedule"/>
              <w:widowControl w:val="false"/>
              <w:spacing w:before="20" w:after="20"/>
              <w:rPr/>
            </w:pPr>
            <w:r>
              <w:rPr/>
            </w:r>
          </w:p>
        </w:tc>
        <w:tc>
          <w:tcPr>
            <w:tcW w:w="10058" w:type="dxa"/>
            <w:gridSpan w:val="6"/>
            <w:tcBorders>
              <w:top w:val="single" w:sz="6" w:space="0" w:color="000000"/>
              <w:left w:val="single" w:sz="6" w:space="0" w:color="000000"/>
              <w:bottom w:val="single" w:sz="4" w:space="0" w:color="000000"/>
              <w:right w:val="single" w:sz="4" w:space="0" w:color="000000"/>
            </w:tcBorders>
            <w:vAlign w:val="bottom"/>
          </w:tcPr>
          <w:p>
            <w:pPr>
              <w:pStyle w:val="FinePrint"/>
              <w:widowControl w:val="false"/>
              <w:spacing w:before="40" w:after="20"/>
              <w:jc w:val="both"/>
              <w:rPr>
                <w:rFonts w:ascii="Helvetica" w:hAnsi="Helvetica" w:cs="Helvetica"/>
                <w:b/>
                <w:b/>
                <w:bCs/>
                <w:color w:val="FF0000"/>
                <w:sz w:val="18"/>
                <w:szCs w:val="18"/>
              </w:rPr>
            </w:pPr>
            <w:r>
              <w:rPr>
                <w:rFonts w:cs="Helvetica" w:ascii="Helvetica" w:hAnsi="Helvetica"/>
                <w:b/>
                <w:bCs/>
                <w:color w:val="FF0000"/>
                <w:sz w:val="18"/>
                <w:szCs w:val="18"/>
              </w:rPr>
              <w:t>Note: Current scheduled flight times, however both airline and times are subject to change.</w:t>
            </w:r>
          </w:p>
        </w:tc>
      </w:tr>
    </w:tbl>
    <w:p>
      <w:pPr>
        <w:pStyle w:val="FinePrint"/>
        <w:widowControl w:val="false"/>
        <w:spacing w:before="40" w:after="20"/>
        <w:jc w:val="both"/>
        <w:rPr>
          <w:rFonts w:ascii="Helvetica" w:hAnsi="Helvetica" w:cs="Helvetica"/>
          <w:b/>
          <w:b/>
          <w:bCs/>
          <w:color w:val="FF0000"/>
          <w:sz w:val="18"/>
          <w:szCs w:val="18"/>
        </w:rPr>
      </w:pPr>
      <w:r>
        <w:rPr>
          <w:rFonts w:cs="Helvetica" w:ascii="Helvetica" w:hAnsi="Helvetica"/>
          <w:b/>
          <w:bCs/>
          <w:color w:val="FF0000"/>
          <w:sz w:val="18"/>
          <w:szCs w:val="18"/>
        </w:rPr>
      </w:r>
    </w:p>
    <w:tbl>
      <w:tblPr>
        <w:tblW w:w="10818"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759"/>
        <w:gridCol w:w="1782"/>
        <w:gridCol w:w="1622"/>
        <w:gridCol w:w="6654"/>
      </w:tblGrid>
      <w:tr>
        <w:trPr>
          <w:cantSplit w:val="true"/>
        </w:trPr>
        <w:tc>
          <w:tcPr>
            <w:tcW w:w="759" w:type="dxa"/>
            <w:vMerge w:val="restart"/>
            <w:tcBorders>
              <w:top w:val="single" w:sz="4" w:space="0" w:color="000000"/>
              <w:left w:val="single" w:sz="4" w:space="0" w:color="000000"/>
              <w:bottom w:val="single" w:sz="4" w:space="0" w:color="000000"/>
              <w:right w:val="single" w:sz="6" w:space="0" w:color="000000"/>
            </w:tcBorders>
            <w:textDirection w:val="btLr"/>
          </w:tcPr>
          <w:p>
            <w:pPr>
              <w:pStyle w:val="TableHeadingVertical"/>
              <w:widowControl w:val="false"/>
              <w:jc w:val="center"/>
              <w:rPr>
                <w:b w:val="false"/>
                <w:b w:val="false"/>
                <w:sz w:val="22"/>
                <w:szCs w:val="22"/>
                <w:u w:val="single"/>
              </w:rPr>
            </w:pPr>
            <w:r>
              <w:rPr>
                <w:sz w:val="22"/>
                <w:szCs w:val="22"/>
              </w:rPr>
              <w:t>Hotel Info.</w:t>
            </w:r>
          </w:p>
        </w:tc>
        <w:tc>
          <w:tcPr>
            <w:tcW w:w="1782" w:type="dxa"/>
            <w:tcBorders>
              <w:top w:val="single" w:sz="4" w:space="0" w:color="000000"/>
              <w:left w:val="single" w:sz="6" w:space="0" w:color="000000"/>
              <w:bottom w:val="single" w:sz="6" w:space="0" w:color="000000"/>
              <w:right w:val="single" w:sz="6" w:space="0" w:color="000000"/>
            </w:tcBorders>
            <w:vAlign w:val="bottom"/>
          </w:tcPr>
          <w:p>
            <w:pPr>
              <w:pStyle w:val="ColumnTitle"/>
              <w:widowControl w:val="false"/>
              <w:spacing w:before="60" w:after="20"/>
              <w:jc w:val="center"/>
              <w:rPr>
                <w:u w:val="none"/>
              </w:rPr>
            </w:pPr>
            <w:r>
              <w:rPr>
                <w:u w:val="none"/>
              </w:rPr>
              <w:t>Check-In Date</w:t>
            </w:r>
          </w:p>
        </w:tc>
        <w:tc>
          <w:tcPr>
            <w:tcW w:w="1622" w:type="dxa"/>
            <w:tcBorders>
              <w:top w:val="single" w:sz="4" w:space="0" w:color="000000"/>
              <w:left w:val="single" w:sz="6" w:space="0" w:color="000000"/>
              <w:bottom w:val="single" w:sz="6" w:space="0" w:color="000000"/>
              <w:right w:val="single" w:sz="6" w:space="0" w:color="000000"/>
            </w:tcBorders>
          </w:tcPr>
          <w:p>
            <w:pPr>
              <w:pStyle w:val="ColumnTitle"/>
              <w:widowControl w:val="false"/>
              <w:spacing w:before="60" w:after="20"/>
              <w:jc w:val="center"/>
              <w:rPr>
                <w:u w:val="none"/>
              </w:rPr>
            </w:pPr>
            <w:r>
              <w:rPr>
                <w:u w:val="none"/>
              </w:rPr>
              <w:t>Check-Out Date</w:t>
            </w:r>
          </w:p>
        </w:tc>
        <w:tc>
          <w:tcPr>
            <w:tcW w:w="6654" w:type="dxa"/>
            <w:tcBorders>
              <w:top w:val="single" w:sz="4" w:space="0" w:color="000000"/>
              <w:left w:val="single" w:sz="6" w:space="0" w:color="000000"/>
              <w:bottom w:val="single" w:sz="6" w:space="0" w:color="000000"/>
              <w:right w:val="single" w:sz="4" w:space="0" w:color="000000"/>
            </w:tcBorders>
            <w:vAlign w:val="bottom"/>
          </w:tcPr>
          <w:p>
            <w:pPr>
              <w:pStyle w:val="ColumnTitle"/>
              <w:widowControl w:val="false"/>
              <w:spacing w:before="60" w:after="20"/>
              <w:jc w:val="center"/>
              <w:rPr>
                <w:u w:val="none"/>
              </w:rPr>
            </w:pPr>
            <w:r>
              <w:rPr>
                <w:u w:val="none"/>
              </w:rPr>
              <w:t>Hotel Address and Phone Number</w:t>
            </w:r>
          </w:p>
        </w:tc>
      </w:tr>
      <w:tr>
        <w:trPr>
          <w:trHeight w:val="444" w:hRule="atLeast"/>
          <w:cantSplit w:val="true"/>
        </w:trPr>
        <w:tc>
          <w:tcPr>
            <w:tcW w:w="759" w:type="dxa"/>
            <w:vMerge w:val="continue"/>
            <w:tcBorders>
              <w:left w:val="single" w:sz="4" w:space="0" w:color="000000"/>
              <w:bottom w:val="single" w:sz="6" w:space="0" w:color="000000"/>
              <w:right w:val="single" w:sz="6" w:space="0" w:color="000000"/>
            </w:tcBorders>
            <w:textDirection w:val="btLr"/>
          </w:tcPr>
          <w:p>
            <w:pPr>
              <w:pStyle w:val="TableHeadingVertical"/>
              <w:widowControl w:val="false"/>
              <w:jc w:val="center"/>
              <w:rPr>
                <w:b w:val="false"/>
                <w:b w:val="false"/>
                <w:sz w:val="22"/>
                <w:szCs w:val="22"/>
                <w:u w:val="single"/>
              </w:rPr>
            </w:pPr>
            <w:r>
              <w:rPr>
                <w:b w:val="false"/>
                <w:sz w:val="22"/>
                <w:szCs w:val="22"/>
                <w:u w:val="single"/>
              </w:rPr>
            </w:r>
          </w:p>
        </w:tc>
        <w:tc>
          <w:tcPr>
            <w:tcW w:w="1782" w:type="dxa"/>
            <w:tcBorders>
              <w:left w:val="single" w:sz="6" w:space="0" w:color="000000"/>
              <w:bottom w:val="single" w:sz="6" w:space="0" w:color="000000"/>
              <w:right w:val="single" w:sz="6" w:space="0" w:color="000000"/>
            </w:tcBorders>
            <w:vAlign w:val="bottom"/>
          </w:tcPr>
          <w:p>
            <w:pPr>
              <w:pStyle w:val="Normal"/>
              <w:widowControl w:val="false"/>
              <w:jc w:val="left"/>
              <w:rPr>
                <w:rFonts w:cs="Helvetica"/>
                <w:sz w:val="20"/>
              </w:rPr>
            </w:pPr>
            <w:r>
              <w:rPr>
                <w:rFonts w:cs="Helvetica"/>
                <w:sz w:val="20"/>
              </w:rPr>
              <w:t>Sunday March 16</w:t>
            </w:r>
          </w:p>
        </w:tc>
        <w:tc>
          <w:tcPr>
            <w:tcW w:w="1622" w:type="dxa"/>
            <w:tcBorders>
              <w:left w:val="single" w:sz="6" w:space="0" w:color="000000"/>
              <w:bottom w:val="single" w:sz="6" w:space="0" w:color="000000"/>
              <w:right w:val="single" w:sz="6" w:space="0" w:color="000000"/>
            </w:tcBorders>
          </w:tcPr>
          <w:p>
            <w:pPr>
              <w:pStyle w:val="Normal"/>
              <w:widowControl w:val="false"/>
              <w:rPr>
                <w:rFonts w:cs="Helvetica"/>
                <w:sz w:val="20"/>
              </w:rPr>
            </w:pPr>
            <w:r>
              <w:rPr>
                <w:rFonts w:cs="Helvetica"/>
                <w:sz w:val="20"/>
              </w:rPr>
              <w:t>Sunday March 24</w:t>
            </w:r>
          </w:p>
        </w:tc>
        <w:tc>
          <w:tcPr>
            <w:tcW w:w="6654" w:type="dxa"/>
            <w:tcBorders>
              <w:left w:val="single" w:sz="6" w:space="0" w:color="000000"/>
              <w:bottom w:val="single" w:sz="6" w:space="0" w:color="000000"/>
              <w:right w:val="single" w:sz="4" w:space="0" w:color="000000"/>
            </w:tcBorders>
            <w:vAlign w:val="bottom"/>
          </w:tcPr>
          <w:p>
            <w:pPr>
              <w:pStyle w:val="ColumnTitle"/>
              <w:widowControl w:val="false"/>
              <w:spacing w:before="60" w:after="20"/>
              <w:jc w:val="left"/>
              <w:rPr>
                <w:b w:val="false"/>
                <w:b w:val="false"/>
                <w:bCs w:val="false"/>
                <w:sz w:val="20"/>
                <w:szCs w:val="20"/>
                <w:u w:val="none"/>
              </w:rPr>
            </w:pPr>
            <w:r>
              <w:rPr>
                <w:b w:val="false"/>
                <w:bCs w:val="false"/>
                <w:sz w:val="20"/>
                <w:szCs w:val="20"/>
                <w:u w:val="none"/>
              </w:rPr>
              <w:t xml:space="preserve">Club Med Tignes,  Av. de la Grande Motte, 73320 Tignes, France </w:t>
            </w:r>
          </w:p>
        </w:tc>
      </w:tr>
      <w:tr>
        <w:trPr>
          <w:trHeight w:val="543" w:hRule="atLeast"/>
          <w:cantSplit w:val="true"/>
        </w:trPr>
        <w:tc>
          <w:tcPr>
            <w:tcW w:w="759" w:type="dxa"/>
            <w:vMerge w:val="continue"/>
            <w:tcBorders>
              <w:top w:val="single" w:sz="6" w:space="0" w:color="000000"/>
              <w:left w:val="single" w:sz="4" w:space="0" w:color="000000"/>
              <w:bottom w:val="single" w:sz="4" w:space="0" w:color="000000"/>
              <w:right w:val="single" w:sz="6" w:space="0" w:color="000000"/>
            </w:tcBorders>
          </w:tcPr>
          <w:p>
            <w:pPr>
              <w:pStyle w:val="PaymentSchedule"/>
              <w:widowControl w:val="false"/>
              <w:spacing w:before="20" w:after="20"/>
              <w:rPr/>
            </w:pPr>
            <w:r>
              <w:rPr/>
            </w:r>
          </w:p>
        </w:tc>
        <w:tc>
          <w:tcPr>
            <w:tcW w:w="1782" w:type="dxa"/>
            <w:tcBorders>
              <w:top w:val="single" w:sz="6" w:space="0" w:color="000000"/>
              <w:left w:val="single" w:sz="6" w:space="0" w:color="000000"/>
              <w:bottom w:val="single" w:sz="4" w:space="0" w:color="000000"/>
              <w:right w:val="single" w:sz="6" w:space="0" w:color="000000"/>
            </w:tcBorders>
            <w:vAlign w:val="center"/>
          </w:tcPr>
          <w:p>
            <w:pPr>
              <w:pStyle w:val="Normal"/>
              <w:widowControl w:val="false"/>
              <w:rPr>
                <w:rFonts w:cs="Helvetica"/>
                <w:sz w:val="20"/>
              </w:rPr>
            </w:pPr>
            <w:r>
              <w:rPr>
                <w:rFonts w:cs="Helvetica"/>
                <w:sz w:val="20"/>
              </w:rPr>
              <w:t>Sunday March 24</w:t>
            </w:r>
          </w:p>
        </w:tc>
        <w:tc>
          <w:tcPr>
            <w:tcW w:w="1622" w:type="dxa"/>
            <w:tcBorders>
              <w:top w:val="single" w:sz="6" w:space="0" w:color="000000"/>
              <w:left w:val="single" w:sz="6" w:space="0" w:color="000000"/>
              <w:bottom w:val="single" w:sz="4" w:space="0" w:color="000000"/>
              <w:right w:val="single" w:sz="6" w:space="0" w:color="000000"/>
            </w:tcBorders>
            <w:vAlign w:val="center"/>
          </w:tcPr>
          <w:p>
            <w:pPr>
              <w:pStyle w:val="Normal"/>
              <w:widowControl w:val="false"/>
              <w:rPr>
                <w:rFonts w:cs="Helvetica"/>
                <w:sz w:val="20"/>
              </w:rPr>
            </w:pPr>
            <w:r>
              <w:rPr>
                <w:rFonts w:cs="Helvetica"/>
                <w:sz w:val="20"/>
              </w:rPr>
              <w:t>Thursday March 28</w:t>
            </w:r>
          </w:p>
        </w:tc>
        <w:tc>
          <w:tcPr>
            <w:tcW w:w="6654" w:type="dxa"/>
            <w:tcBorders>
              <w:top w:val="single" w:sz="6" w:space="0" w:color="000000"/>
              <w:left w:val="single" w:sz="6" w:space="0" w:color="000000"/>
              <w:bottom w:val="single" w:sz="4" w:space="0" w:color="000000"/>
              <w:right w:val="single" w:sz="4" w:space="0" w:color="000000"/>
            </w:tcBorders>
            <w:vAlign w:val="center"/>
          </w:tcPr>
          <w:p>
            <w:pPr>
              <w:pStyle w:val="Normal"/>
              <w:rPr>
                <w:rFonts w:ascii="Arial" w:hAnsi="Arial"/>
                <w:sz w:val="20"/>
                <w:szCs w:val="20"/>
              </w:rPr>
            </w:pPr>
            <w:r>
              <w:rPr>
                <w:rFonts w:ascii="Arial" w:hAnsi="Arial"/>
                <w:sz w:val="20"/>
                <w:szCs w:val="20"/>
              </w:rPr>
              <w:t xml:space="preserve">Mercure Paris Gare de Lyon TGV </w:t>
            </w:r>
            <w:r>
              <w:rPr>
                <w:rFonts w:ascii="Arial" w:hAnsi="Arial"/>
                <w:sz w:val="20"/>
                <w:szCs w:val="20"/>
              </w:rPr>
              <w:t>H</w:t>
            </w:r>
            <w:r>
              <w:rPr>
                <w:rFonts w:ascii="Arial" w:hAnsi="Arial"/>
                <w:sz w:val="20"/>
                <w:szCs w:val="20"/>
              </w:rPr>
              <w:t xml:space="preserve">otel </w:t>
            </w:r>
            <w:r>
              <w:rPr>
                <w:rFonts w:ascii="Arial" w:hAnsi="Arial"/>
                <w:sz w:val="20"/>
                <w:szCs w:val="20"/>
              </w:rPr>
              <w:t>4*</w:t>
            </w:r>
          </w:p>
          <w:p>
            <w:pPr>
              <w:pStyle w:val="Normal"/>
              <w:rPr>
                <w:rFonts w:ascii="Arial" w:hAnsi="Arial"/>
              </w:rPr>
            </w:pPr>
            <w:r>
              <w:fldChar w:fldCharType="begin"/>
            </w:r>
            <w:r>
              <w:rPr>
                <w:rStyle w:val="InternetLink"/>
                <w:sz w:val="20"/>
                <w:u w:val="none"/>
                <w:szCs w:val="20"/>
                <w:rFonts w:ascii="Arial" w:hAnsi="Arial"/>
                <w:color w:val="000000"/>
              </w:rPr>
              <w:instrText xml:space="preserve"> HYPERLINK "https://all.accor.com/hotel/2217/index.en.shtml" \l "section-location"</w:instrText>
            </w:r>
            <w:r>
              <w:rPr>
                <w:rStyle w:val="InternetLink"/>
                <w:sz w:val="20"/>
                <w:u w:val="none"/>
                <w:szCs w:val="20"/>
                <w:rFonts w:ascii="Arial" w:hAnsi="Arial"/>
                <w:color w:val="000000"/>
              </w:rPr>
              <w:fldChar w:fldCharType="separate"/>
            </w:r>
            <w:r>
              <w:rPr>
                <w:rStyle w:val="InternetLink"/>
                <w:rFonts w:ascii="Arial" w:hAnsi="Arial"/>
                <w:color w:val="000000"/>
                <w:sz w:val="20"/>
                <w:szCs w:val="20"/>
                <w:u w:val="none"/>
              </w:rPr>
              <w:t xml:space="preserve">2 place Louis Armand, 75012 Paris, France </w:t>
            </w:r>
            <w:r>
              <w:rPr>
                <w:rStyle w:val="InternetLink"/>
                <w:sz w:val="20"/>
                <w:u w:val="none"/>
                <w:szCs w:val="20"/>
                <w:rFonts w:ascii="Arial" w:hAnsi="Arial"/>
                <w:color w:val="000000"/>
              </w:rPr>
              <w:fldChar w:fldCharType="end"/>
            </w:r>
          </w:p>
          <w:p>
            <w:pPr>
              <w:pStyle w:val="Normal"/>
              <w:rPr>
                <w:rFonts w:ascii="Arial" w:hAnsi="Arial"/>
                <w:sz w:val="20"/>
                <w:szCs w:val="20"/>
              </w:rPr>
            </w:pPr>
            <w:r>
              <w:rPr>
                <w:rFonts w:ascii="Arial" w:hAnsi="Arial"/>
                <w:sz w:val="20"/>
                <w:szCs w:val="20"/>
              </w:rPr>
            </w:r>
          </w:p>
          <w:p>
            <w:pPr>
              <w:pStyle w:val="Normal"/>
              <w:rPr>
                <w:rFonts w:ascii="Arial" w:hAnsi="Arial"/>
                <w:sz w:val="20"/>
                <w:szCs w:val="20"/>
              </w:rPr>
            </w:pPr>
            <w:r>
              <w:rPr>
                <w:rFonts w:ascii="Arial" w:hAnsi="Arial"/>
                <w:i w:val="false"/>
                <w:iCs w:val="false"/>
                <w:sz w:val="20"/>
                <w:szCs w:val="20"/>
              </w:rPr>
              <w:t>+33-1-43-44-84-84</w:t>
            </w:r>
          </w:p>
        </w:tc>
      </w:tr>
    </w:tbl>
    <w:p>
      <w:pPr>
        <w:pStyle w:val="BodySansClosedJustified"/>
        <w:rPr/>
      </w:pPr>
      <w:r>
        <w:rPr/>
      </w:r>
    </w:p>
    <w:tbl>
      <w:tblPr>
        <w:tblW w:w="10818"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642"/>
        <w:gridCol w:w="1602"/>
        <w:gridCol w:w="1104"/>
        <w:gridCol w:w="7469"/>
      </w:tblGrid>
      <w:tr>
        <w:trPr>
          <w:cantSplit w:val="true"/>
        </w:trPr>
        <w:tc>
          <w:tcPr>
            <w:tcW w:w="642" w:type="dxa"/>
            <w:vMerge w:val="restart"/>
            <w:tcBorders>
              <w:top w:val="single" w:sz="4" w:space="0" w:color="000000"/>
              <w:left w:val="single" w:sz="4" w:space="0" w:color="000000"/>
              <w:bottom w:val="single" w:sz="4" w:space="0" w:color="000000"/>
              <w:right w:val="single" w:sz="6" w:space="0" w:color="000000"/>
            </w:tcBorders>
            <w:textDirection w:val="btLr"/>
          </w:tcPr>
          <w:p>
            <w:pPr>
              <w:pStyle w:val="TableHeadingVertical"/>
              <w:widowControl w:val="false"/>
              <w:jc w:val="center"/>
              <w:rPr/>
            </w:pPr>
            <w:r>
              <w:rPr/>
              <w:t>Deposit Info</w:t>
            </w:r>
          </w:p>
        </w:tc>
        <w:tc>
          <w:tcPr>
            <w:tcW w:w="1602" w:type="dxa"/>
            <w:tcBorders>
              <w:top w:val="single" w:sz="4" w:space="0" w:color="000000"/>
              <w:left w:val="single" w:sz="6" w:space="0" w:color="000000"/>
              <w:bottom w:val="single" w:sz="4" w:space="0" w:color="000000"/>
              <w:right w:val="single" w:sz="6" w:space="0" w:color="000000"/>
            </w:tcBorders>
          </w:tcPr>
          <w:p>
            <w:pPr>
              <w:pStyle w:val="PaymentSchedule"/>
              <w:widowControl w:val="false"/>
              <w:spacing w:before="20" w:after="20"/>
              <w:rPr>
                <w:sz w:val="20"/>
              </w:rPr>
            </w:pPr>
            <w:r>
              <w:rPr>
                <w:sz w:val="20"/>
              </w:rPr>
              <w:t xml:space="preserve">Deposit: </w:t>
            </w:r>
          </w:p>
          <w:p>
            <w:pPr>
              <w:pStyle w:val="PaymentSchedule"/>
              <w:widowControl w:val="false"/>
              <w:spacing w:before="20" w:after="20"/>
              <w:rPr>
                <w:sz w:val="20"/>
              </w:rPr>
            </w:pPr>
            <w:r>
              <w:rPr>
                <w:sz w:val="20"/>
              </w:rPr>
              <w:t>May 16</w:t>
            </w:r>
          </w:p>
        </w:tc>
        <w:tc>
          <w:tcPr>
            <w:tcW w:w="1104" w:type="dxa"/>
            <w:tcBorders>
              <w:top w:val="single" w:sz="4" w:space="0" w:color="000000"/>
              <w:left w:val="single" w:sz="6" w:space="0" w:color="000000"/>
              <w:bottom w:val="single" w:sz="4" w:space="0" w:color="000000"/>
              <w:right w:val="single" w:sz="6" w:space="0" w:color="000000"/>
            </w:tcBorders>
          </w:tcPr>
          <w:p>
            <w:pPr>
              <w:pStyle w:val="PaymentSchedule"/>
              <w:widowControl w:val="false"/>
              <w:spacing w:before="20" w:after="20"/>
              <w:rPr>
                <w:sz w:val="20"/>
              </w:rPr>
            </w:pPr>
            <w:r>
              <w:rPr>
                <w:sz w:val="20"/>
              </w:rPr>
              <w:t>$800.00</w:t>
            </w:r>
          </w:p>
        </w:tc>
        <w:tc>
          <w:tcPr>
            <w:tcW w:w="7469" w:type="dxa"/>
            <w:vMerge w:val="restart"/>
            <w:tcBorders>
              <w:top w:val="single" w:sz="4" w:space="0" w:color="000000"/>
              <w:left w:val="single" w:sz="6" w:space="0" w:color="000000"/>
              <w:bottom w:val="single" w:sz="4" w:space="0" w:color="000000"/>
              <w:right w:val="single" w:sz="4" w:space="0" w:color="000000"/>
            </w:tcBorders>
          </w:tcPr>
          <w:p>
            <w:pPr>
              <w:pStyle w:val="Normal"/>
              <w:widowControl w:val="false"/>
              <w:jc w:val="both"/>
              <w:rPr>
                <w:rFonts w:cs="Helvetica"/>
                <w:sz w:val="20"/>
              </w:rPr>
            </w:pPr>
            <w:r>
              <w:rPr>
                <w:rFonts w:cs="Helvetica"/>
                <w:bCs/>
                <w:sz w:val="20"/>
              </w:rPr>
              <w:t>*</w:t>
            </w:r>
            <w:r>
              <w:rPr>
                <w:rFonts w:cs="Helvetica"/>
                <w:b/>
                <w:bCs/>
                <w:sz w:val="20"/>
              </w:rPr>
              <w:t>PLEASE NOTE:</w:t>
            </w:r>
            <w:r>
              <w:rPr>
                <w:rFonts w:cs="Helvetica"/>
                <w:bCs/>
                <w:sz w:val="20"/>
              </w:rPr>
              <w:t xml:space="preserve"> First $75 is non-refundable.  Price subject to change due to any costs incurred by FLSC due to the changing circumstances in the travel industry. Trip participants are responsible for any fees that may be incurred outside the control of FLSC, including but not limited to:  fuel surcharges, baggage fees imposed by airlines, changes in exchange rates, costs incurred by weather related delays or cancellations. Any name change after ticketing will be subject to a $200 penalty or more imposed by the airline.  Your name must match your Passport or license (a copy of which must be provided to your trip leader at signup). </w:t>
            </w:r>
            <w:r>
              <w:rPr>
                <w:rFonts w:cs="HelveticaNeue" w:ascii="HelveticaNeue" w:hAnsi="HelveticaNeue"/>
                <w:b/>
                <w:color w:val="FF0000"/>
                <w:sz w:val="22"/>
                <w:szCs w:val="22"/>
              </w:rPr>
              <w:t>A $25 charge will be added if final payment is not received by the due date.</w:t>
            </w:r>
          </w:p>
        </w:tc>
      </w:tr>
      <w:tr>
        <w:trPr>
          <w:cantSplit w:val="true"/>
        </w:trPr>
        <w:tc>
          <w:tcPr>
            <w:tcW w:w="642" w:type="dxa"/>
            <w:vMerge w:val="continue"/>
            <w:tcBorders>
              <w:top w:val="single" w:sz="6" w:space="0" w:color="000000"/>
              <w:left w:val="single" w:sz="4" w:space="0" w:color="000000"/>
              <w:bottom w:val="single" w:sz="6" w:space="0" w:color="000000"/>
              <w:right w:val="single" w:sz="6" w:space="0" w:color="000000"/>
            </w:tcBorders>
          </w:tcPr>
          <w:p>
            <w:pPr>
              <w:pStyle w:val="PaymentSchedule"/>
              <w:widowControl w:val="false"/>
              <w:spacing w:before="20" w:after="20"/>
              <w:rPr/>
            </w:pPr>
            <w:r>
              <w:rPr/>
            </w:r>
          </w:p>
        </w:tc>
        <w:tc>
          <w:tcPr>
            <w:tcW w:w="1602" w:type="dxa"/>
            <w:tcBorders>
              <w:top w:val="single" w:sz="4" w:space="0" w:color="000000"/>
              <w:left w:val="single" w:sz="6" w:space="0" w:color="000000"/>
              <w:bottom w:val="single" w:sz="6" w:space="0" w:color="000000"/>
              <w:right w:val="single" w:sz="6" w:space="0" w:color="000000"/>
            </w:tcBorders>
            <w:vAlign w:val="center"/>
          </w:tcPr>
          <w:p>
            <w:pPr>
              <w:pStyle w:val="PaymentSchedule"/>
              <w:widowControl w:val="false"/>
              <w:spacing w:before="20" w:after="20"/>
              <w:rPr>
                <w:sz w:val="20"/>
              </w:rPr>
            </w:pPr>
            <w:r>
              <w:rPr>
                <w:sz w:val="20"/>
              </w:rPr>
              <w:t>June 16</w:t>
            </w:r>
          </w:p>
        </w:tc>
        <w:tc>
          <w:tcPr>
            <w:tcW w:w="1104" w:type="dxa"/>
            <w:tcBorders>
              <w:top w:val="single" w:sz="4" w:space="0" w:color="000000"/>
              <w:left w:val="single" w:sz="6" w:space="0" w:color="000000"/>
              <w:bottom w:val="single" w:sz="6" w:space="0" w:color="000000"/>
              <w:right w:val="single" w:sz="6" w:space="0" w:color="000000"/>
            </w:tcBorders>
          </w:tcPr>
          <w:p>
            <w:pPr>
              <w:pStyle w:val="PaymentSchedule"/>
              <w:widowControl w:val="false"/>
              <w:spacing w:before="20" w:after="20"/>
              <w:rPr>
                <w:sz w:val="20"/>
              </w:rPr>
            </w:pPr>
            <w:r>
              <w:rPr>
                <w:sz w:val="20"/>
              </w:rPr>
              <w:t>$600.00</w:t>
            </w:r>
          </w:p>
        </w:tc>
        <w:tc>
          <w:tcPr>
            <w:tcW w:w="7469" w:type="dxa"/>
            <w:vMerge w:val="continue"/>
            <w:tcBorders>
              <w:top w:val="single" w:sz="6" w:space="0" w:color="000000"/>
              <w:left w:val="single" w:sz="6" w:space="0" w:color="000000"/>
              <w:bottom w:val="single" w:sz="6" w:space="0" w:color="000000"/>
              <w:right w:val="single" w:sz="4" w:space="0" w:color="000000"/>
            </w:tcBorders>
          </w:tcPr>
          <w:p>
            <w:pPr>
              <w:pStyle w:val="PaymentSchedule"/>
              <w:widowControl w:val="false"/>
              <w:spacing w:before="20" w:after="20"/>
              <w:rPr/>
            </w:pPr>
            <w:r>
              <w:rPr/>
            </w:r>
          </w:p>
        </w:tc>
      </w:tr>
      <w:tr>
        <w:trPr>
          <w:cantSplit w:val="true"/>
        </w:trPr>
        <w:tc>
          <w:tcPr>
            <w:tcW w:w="642" w:type="dxa"/>
            <w:vMerge w:val="continue"/>
            <w:tcBorders>
              <w:left w:val="single" w:sz="4" w:space="0" w:color="000000"/>
              <w:bottom w:val="single" w:sz="6" w:space="0" w:color="000000"/>
              <w:right w:val="single" w:sz="6" w:space="0" w:color="000000"/>
            </w:tcBorders>
          </w:tcPr>
          <w:p>
            <w:pPr>
              <w:pStyle w:val="PaymentSchedule"/>
              <w:widowControl w:val="false"/>
              <w:spacing w:before="20" w:after="20"/>
              <w:rPr/>
            </w:pPr>
            <w:r>
              <w:rPr/>
            </w:r>
          </w:p>
        </w:tc>
        <w:tc>
          <w:tcPr>
            <w:tcW w:w="1602" w:type="dxa"/>
            <w:tcBorders>
              <w:left w:val="single" w:sz="6" w:space="0" w:color="000000"/>
              <w:bottom w:val="single" w:sz="6" w:space="0" w:color="000000"/>
              <w:right w:val="single" w:sz="6" w:space="0" w:color="000000"/>
            </w:tcBorders>
            <w:vAlign w:val="center"/>
          </w:tcPr>
          <w:p>
            <w:pPr>
              <w:pStyle w:val="PaymentSchedule"/>
              <w:widowControl w:val="false"/>
              <w:spacing w:before="20" w:after="20"/>
              <w:rPr>
                <w:sz w:val="20"/>
              </w:rPr>
            </w:pPr>
            <w:r>
              <w:rPr>
                <w:sz w:val="20"/>
              </w:rPr>
              <w:t>July 20</w:t>
            </w:r>
          </w:p>
        </w:tc>
        <w:tc>
          <w:tcPr>
            <w:tcW w:w="1104" w:type="dxa"/>
            <w:tcBorders>
              <w:left w:val="single" w:sz="6" w:space="0" w:color="000000"/>
              <w:bottom w:val="single" w:sz="6" w:space="0" w:color="000000"/>
              <w:right w:val="single" w:sz="6" w:space="0" w:color="000000"/>
            </w:tcBorders>
          </w:tcPr>
          <w:p>
            <w:pPr>
              <w:pStyle w:val="PaymentSchedule"/>
              <w:widowControl w:val="false"/>
              <w:spacing w:before="20" w:after="20"/>
              <w:rPr>
                <w:sz w:val="20"/>
              </w:rPr>
            </w:pPr>
            <w:r>
              <w:rPr/>
              <w:t>$600.00</w:t>
            </w:r>
          </w:p>
        </w:tc>
        <w:tc>
          <w:tcPr>
            <w:tcW w:w="7469" w:type="dxa"/>
            <w:vMerge w:val="continue"/>
            <w:tcBorders>
              <w:left w:val="single" w:sz="6" w:space="0" w:color="000000"/>
              <w:bottom w:val="single" w:sz="6" w:space="0" w:color="000000"/>
              <w:right w:val="single" w:sz="4" w:space="0" w:color="000000"/>
            </w:tcBorders>
          </w:tcPr>
          <w:p>
            <w:pPr>
              <w:pStyle w:val="PaymentSchedule"/>
              <w:widowControl w:val="false"/>
              <w:spacing w:before="20" w:after="20"/>
              <w:rPr/>
            </w:pPr>
            <w:r>
              <w:rPr/>
            </w:r>
          </w:p>
        </w:tc>
      </w:tr>
      <w:tr>
        <w:trPr>
          <w:cantSplit w:val="true"/>
        </w:trPr>
        <w:tc>
          <w:tcPr>
            <w:tcW w:w="642" w:type="dxa"/>
            <w:vMerge w:val="continue"/>
            <w:tcBorders>
              <w:left w:val="single" w:sz="4" w:space="0" w:color="000000"/>
              <w:bottom w:val="single" w:sz="6" w:space="0" w:color="000000"/>
              <w:right w:val="single" w:sz="6" w:space="0" w:color="000000"/>
            </w:tcBorders>
          </w:tcPr>
          <w:p>
            <w:pPr>
              <w:pStyle w:val="PaymentSchedule"/>
              <w:widowControl w:val="false"/>
              <w:spacing w:before="20" w:after="20"/>
              <w:rPr/>
            </w:pPr>
            <w:r>
              <w:rPr/>
            </w:r>
          </w:p>
        </w:tc>
        <w:tc>
          <w:tcPr>
            <w:tcW w:w="1602" w:type="dxa"/>
            <w:tcBorders>
              <w:left w:val="single" w:sz="6" w:space="0" w:color="000000"/>
              <w:bottom w:val="single" w:sz="6" w:space="0" w:color="000000"/>
              <w:right w:val="single" w:sz="6" w:space="0" w:color="000000"/>
            </w:tcBorders>
            <w:vAlign w:val="center"/>
          </w:tcPr>
          <w:p>
            <w:pPr>
              <w:pStyle w:val="PaymentSchedule"/>
              <w:widowControl w:val="false"/>
              <w:spacing w:before="20" w:after="20"/>
              <w:rPr>
                <w:sz w:val="20"/>
              </w:rPr>
            </w:pPr>
            <w:r>
              <w:rPr>
                <w:sz w:val="20"/>
              </w:rPr>
              <w:t>August 15</w:t>
            </w:r>
          </w:p>
        </w:tc>
        <w:tc>
          <w:tcPr>
            <w:tcW w:w="1104" w:type="dxa"/>
            <w:tcBorders>
              <w:left w:val="single" w:sz="6" w:space="0" w:color="000000"/>
              <w:bottom w:val="single" w:sz="6" w:space="0" w:color="000000"/>
              <w:right w:val="single" w:sz="6" w:space="0" w:color="000000"/>
            </w:tcBorders>
          </w:tcPr>
          <w:p>
            <w:pPr>
              <w:pStyle w:val="PaymentSchedule"/>
              <w:widowControl w:val="false"/>
              <w:spacing w:before="20" w:after="20"/>
              <w:rPr>
                <w:sz w:val="20"/>
              </w:rPr>
            </w:pPr>
            <w:r>
              <w:rPr/>
              <w:t>$600.00</w:t>
            </w:r>
          </w:p>
        </w:tc>
        <w:tc>
          <w:tcPr>
            <w:tcW w:w="7469" w:type="dxa"/>
            <w:vMerge w:val="continue"/>
            <w:tcBorders>
              <w:left w:val="single" w:sz="6" w:space="0" w:color="000000"/>
              <w:bottom w:val="single" w:sz="6" w:space="0" w:color="000000"/>
              <w:right w:val="single" w:sz="4" w:space="0" w:color="000000"/>
            </w:tcBorders>
          </w:tcPr>
          <w:p>
            <w:pPr>
              <w:pStyle w:val="PaymentSchedule"/>
              <w:widowControl w:val="false"/>
              <w:spacing w:before="20" w:after="20"/>
              <w:rPr/>
            </w:pPr>
            <w:r>
              <w:rPr/>
            </w:r>
          </w:p>
        </w:tc>
      </w:tr>
      <w:tr>
        <w:trPr>
          <w:cantSplit w:val="true"/>
        </w:trPr>
        <w:tc>
          <w:tcPr>
            <w:tcW w:w="642" w:type="dxa"/>
            <w:vMerge w:val="continue"/>
            <w:tcBorders>
              <w:top w:val="single" w:sz="6" w:space="0" w:color="000000"/>
              <w:left w:val="single" w:sz="4" w:space="0" w:color="000000"/>
              <w:bottom w:val="single" w:sz="6" w:space="0" w:color="000000"/>
              <w:right w:val="single" w:sz="6" w:space="0" w:color="000000"/>
            </w:tcBorders>
          </w:tcPr>
          <w:p>
            <w:pPr>
              <w:pStyle w:val="PaymentSchedule"/>
              <w:widowControl w:val="false"/>
              <w:spacing w:before="20" w:after="20"/>
              <w:rPr/>
            </w:pPr>
            <w:r>
              <w:rPr/>
            </w:r>
          </w:p>
        </w:tc>
        <w:tc>
          <w:tcPr>
            <w:tcW w:w="1602" w:type="dxa"/>
            <w:tcBorders>
              <w:top w:val="single" w:sz="6" w:space="0" w:color="000000"/>
              <w:left w:val="single" w:sz="6" w:space="0" w:color="000000"/>
              <w:bottom w:val="single" w:sz="6" w:space="0" w:color="000000"/>
              <w:right w:val="single" w:sz="6" w:space="0" w:color="000000"/>
            </w:tcBorders>
            <w:vAlign w:val="center"/>
          </w:tcPr>
          <w:p>
            <w:pPr>
              <w:pStyle w:val="PaymentSchedule"/>
              <w:widowControl w:val="false"/>
              <w:spacing w:before="20" w:after="20"/>
              <w:rPr>
                <w:sz w:val="20"/>
              </w:rPr>
            </w:pPr>
            <w:r>
              <w:rPr>
                <w:sz w:val="20"/>
              </w:rPr>
              <w:t>September 19</w:t>
            </w:r>
          </w:p>
        </w:tc>
        <w:tc>
          <w:tcPr>
            <w:tcW w:w="1104" w:type="dxa"/>
            <w:tcBorders>
              <w:top w:val="single" w:sz="6" w:space="0" w:color="000000"/>
              <w:left w:val="single" w:sz="6" w:space="0" w:color="000000"/>
              <w:bottom w:val="single" w:sz="6" w:space="0" w:color="000000"/>
              <w:right w:val="single" w:sz="6" w:space="0" w:color="000000"/>
            </w:tcBorders>
          </w:tcPr>
          <w:p>
            <w:pPr>
              <w:pStyle w:val="PaymentSchedule"/>
              <w:widowControl w:val="false"/>
              <w:spacing w:before="20" w:after="20"/>
              <w:rPr>
                <w:sz w:val="20"/>
              </w:rPr>
            </w:pPr>
            <w:r>
              <w:rPr>
                <w:sz w:val="20"/>
              </w:rPr>
              <w:t>$600.00</w:t>
            </w:r>
          </w:p>
        </w:tc>
        <w:tc>
          <w:tcPr>
            <w:tcW w:w="7469" w:type="dxa"/>
            <w:vMerge w:val="continue"/>
            <w:tcBorders>
              <w:top w:val="single" w:sz="6" w:space="0" w:color="000000"/>
              <w:left w:val="single" w:sz="6" w:space="0" w:color="000000"/>
              <w:bottom w:val="single" w:sz="6" w:space="0" w:color="000000"/>
              <w:right w:val="single" w:sz="4" w:space="0" w:color="000000"/>
            </w:tcBorders>
          </w:tcPr>
          <w:p>
            <w:pPr>
              <w:pStyle w:val="PaymentSchedule"/>
              <w:widowControl w:val="false"/>
              <w:spacing w:before="20" w:after="20"/>
              <w:rPr/>
            </w:pPr>
            <w:r>
              <w:rPr/>
            </w:r>
          </w:p>
        </w:tc>
      </w:tr>
      <w:tr>
        <w:trPr>
          <w:trHeight w:val="368" w:hRule="atLeast"/>
          <w:cantSplit w:val="true"/>
        </w:trPr>
        <w:tc>
          <w:tcPr>
            <w:tcW w:w="642" w:type="dxa"/>
            <w:vMerge w:val="continue"/>
            <w:tcBorders>
              <w:top w:val="single" w:sz="6" w:space="0" w:color="000000"/>
              <w:left w:val="single" w:sz="4" w:space="0" w:color="000000"/>
              <w:bottom w:val="single" w:sz="6" w:space="0" w:color="000000"/>
              <w:right w:val="single" w:sz="6" w:space="0" w:color="000000"/>
            </w:tcBorders>
          </w:tcPr>
          <w:p>
            <w:pPr>
              <w:pStyle w:val="PaymentSchedule"/>
              <w:widowControl w:val="false"/>
              <w:spacing w:before="20" w:after="20"/>
              <w:rPr/>
            </w:pPr>
            <w:r>
              <w:rPr/>
            </w:r>
          </w:p>
        </w:tc>
        <w:tc>
          <w:tcPr>
            <w:tcW w:w="1602" w:type="dxa"/>
            <w:tcBorders>
              <w:top w:val="single" w:sz="6" w:space="0" w:color="000000"/>
              <w:left w:val="single" w:sz="6" w:space="0" w:color="000000"/>
              <w:bottom w:val="single" w:sz="6" w:space="0" w:color="000000"/>
              <w:right w:val="single" w:sz="6" w:space="0" w:color="000000"/>
            </w:tcBorders>
            <w:vAlign w:val="center"/>
          </w:tcPr>
          <w:p>
            <w:pPr>
              <w:pStyle w:val="PaymentSchedule"/>
              <w:widowControl w:val="false"/>
              <w:spacing w:before="20" w:after="20"/>
              <w:rPr>
                <w:sz w:val="20"/>
              </w:rPr>
            </w:pPr>
            <w:r>
              <w:rPr>
                <w:sz w:val="20"/>
              </w:rPr>
              <w:t>October 17</w:t>
            </w:r>
          </w:p>
        </w:tc>
        <w:tc>
          <w:tcPr>
            <w:tcW w:w="1104" w:type="dxa"/>
            <w:tcBorders>
              <w:top w:val="single" w:sz="6" w:space="0" w:color="000000"/>
              <w:left w:val="single" w:sz="6" w:space="0" w:color="000000"/>
              <w:bottom w:val="single" w:sz="6" w:space="0" w:color="000000"/>
              <w:right w:val="single" w:sz="6" w:space="0" w:color="000000"/>
            </w:tcBorders>
          </w:tcPr>
          <w:p>
            <w:pPr>
              <w:pStyle w:val="PaymentSchedule"/>
              <w:widowControl w:val="false"/>
              <w:spacing w:before="20" w:after="20"/>
              <w:rPr>
                <w:sz w:val="20"/>
              </w:rPr>
            </w:pPr>
            <w:r>
              <w:rPr>
                <w:sz w:val="20"/>
              </w:rPr>
              <w:t>$600.00</w:t>
            </w:r>
          </w:p>
        </w:tc>
        <w:tc>
          <w:tcPr>
            <w:tcW w:w="7469" w:type="dxa"/>
            <w:vMerge w:val="continue"/>
            <w:tcBorders>
              <w:top w:val="single" w:sz="6" w:space="0" w:color="000000"/>
              <w:left w:val="single" w:sz="6" w:space="0" w:color="000000"/>
              <w:bottom w:val="single" w:sz="6" w:space="0" w:color="000000"/>
              <w:right w:val="single" w:sz="4" w:space="0" w:color="000000"/>
            </w:tcBorders>
          </w:tcPr>
          <w:p>
            <w:pPr>
              <w:pStyle w:val="PaymentSchedule"/>
              <w:widowControl w:val="false"/>
              <w:spacing w:before="20" w:after="20"/>
              <w:rPr/>
            </w:pPr>
            <w:r>
              <w:rPr/>
            </w:r>
          </w:p>
        </w:tc>
      </w:tr>
      <w:tr>
        <w:trPr>
          <w:trHeight w:val="680" w:hRule="atLeast"/>
          <w:cantSplit w:val="true"/>
        </w:trPr>
        <w:tc>
          <w:tcPr>
            <w:tcW w:w="642" w:type="dxa"/>
            <w:vMerge w:val="continue"/>
            <w:tcBorders>
              <w:top w:val="single" w:sz="6" w:space="0" w:color="000000"/>
              <w:left w:val="single" w:sz="4" w:space="0" w:color="000000"/>
              <w:bottom w:val="single" w:sz="4" w:space="0" w:color="000000"/>
              <w:right w:val="single" w:sz="6" w:space="0" w:color="000000"/>
            </w:tcBorders>
          </w:tcPr>
          <w:p>
            <w:pPr>
              <w:pStyle w:val="PaymentSchedule"/>
              <w:widowControl w:val="false"/>
              <w:spacing w:before="20" w:after="20"/>
              <w:rPr/>
            </w:pPr>
            <w:r>
              <w:rPr/>
            </w:r>
          </w:p>
        </w:tc>
        <w:tc>
          <w:tcPr>
            <w:tcW w:w="1602" w:type="dxa"/>
            <w:tcBorders>
              <w:top w:val="single" w:sz="6" w:space="0" w:color="000000"/>
              <w:left w:val="single" w:sz="6" w:space="0" w:color="000000"/>
              <w:bottom w:val="single" w:sz="4" w:space="0" w:color="000000"/>
              <w:right w:val="single" w:sz="6" w:space="0" w:color="000000"/>
            </w:tcBorders>
            <w:vAlign w:val="center"/>
          </w:tcPr>
          <w:p>
            <w:pPr>
              <w:pStyle w:val="PaymentSchedule"/>
              <w:widowControl w:val="false"/>
              <w:spacing w:before="20" w:after="20"/>
              <w:rPr>
                <w:sz w:val="20"/>
              </w:rPr>
            </w:pPr>
            <w:r>
              <w:rPr>
                <w:sz w:val="20"/>
              </w:rPr>
              <w:t xml:space="preserve">November 21 </w:t>
            </w:r>
          </w:p>
        </w:tc>
        <w:tc>
          <w:tcPr>
            <w:tcW w:w="1104" w:type="dxa"/>
            <w:tcBorders>
              <w:top w:val="single" w:sz="6" w:space="0" w:color="000000"/>
              <w:left w:val="single" w:sz="6" w:space="0" w:color="000000"/>
              <w:bottom w:val="single" w:sz="4" w:space="0" w:color="000000"/>
              <w:right w:val="single" w:sz="6" w:space="0" w:color="000000"/>
            </w:tcBorders>
            <w:vAlign w:val="center"/>
          </w:tcPr>
          <w:p>
            <w:pPr>
              <w:pStyle w:val="PaymentSchedule"/>
              <w:widowControl w:val="false"/>
              <w:spacing w:before="20" w:after="20"/>
              <w:jc w:val="center"/>
              <w:rPr>
                <w:sz w:val="20"/>
              </w:rPr>
            </w:pPr>
            <w:r>
              <w:rPr>
                <w:sz w:val="20"/>
              </w:rPr>
              <w:t xml:space="preserve">Balance </w:t>
            </w:r>
          </w:p>
        </w:tc>
        <w:tc>
          <w:tcPr>
            <w:tcW w:w="7469" w:type="dxa"/>
            <w:vMerge w:val="continue"/>
            <w:tcBorders>
              <w:top w:val="single" w:sz="6" w:space="0" w:color="000000"/>
              <w:left w:val="single" w:sz="6" w:space="0" w:color="000000"/>
              <w:bottom w:val="single" w:sz="4" w:space="0" w:color="000000"/>
              <w:right w:val="single" w:sz="4" w:space="0" w:color="000000"/>
            </w:tcBorders>
          </w:tcPr>
          <w:p>
            <w:pPr>
              <w:pStyle w:val="PaymentSchedule"/>
              <w:widowControl w:val="false"/>
              <w:spacing w:before="20" w:after="20"/>
              <w:rPr/>
            </w:pPr>
            <w:r>
              <w:rPr/>
            </w:r>
          </w:p>
        </w:tc>
      </w:tr>
    </w:tbl>
    <w:p>
      <w:pPr>
        <w:pStyle w:val="FinePrint"/>
        <w:rPr>
          <w:sz w:val="14"/>
        </w:rPr>
      </w:pPr>
      <w:r>
        <w:rPr>
          <w:sz w:val="14"/>
        </w:rPr>
      </w:r>
    </w:p>
    <w:p>
      <w:pPr>
        <w:pStyle w:val="FinePrint"/>
        <w:rPr>
          <w:sz w:val="14"/>
        </w:rPr>
      </w:pPr>
      <w:r>
        <w:rPr>
          <w:sz w:val="14"/>
        </w:rPr>
      </w:r>
    </w:p>
    <w:tbl>
      <w:tblPr>
        <w:tblW w:w="10818"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715"/>
        <w:gridCol w:w="1820"/>
        <w:gridCol w:w="1713"/>
        <w:gridCol w:w="6569"/>
      </w:tblGrid>
      <w:tr>
        <w:trPr>
          <w:cantSplit w:val="true"/>
        </w:trPr>
        <w:tc>
          <w:tcPr>
            <w:tcW w:w="715" w:type="dxa"/>
            <w:vMerge w:val="restart"/>
            <w:tcBorders>
              <w:top w:val="single" w:sz="4" w:space="0" w:color="000000"/>
              <w:left w:val="single" w:sz="4" w:space="0" w:color="000000"/>
              <w:bottom w:val="single" w:sz="4" w:space="0" w:color="000000"/>
              <w:right w:val="single" w:sz="6" w:space="0" w:color="000000"/>
            </w:tcBorders>
            <w:textDirection w:val="btLr"/>
          </w:tcPr>
          <w:p>
            <w:pPr>
              <w:pStyle w:val="TableHeadingVertical"/>
              <w:widowControl w:val="false"/>
              <w:jc w:val="center"/>
              <w:rPr/>
            </w:pPr>
            <w:r>
              <w:rPr/>
              <w:t>Cancellation Policy</w:t>
            </w:r>
          </w:p>
        </w:tc>
        <w:tc>
          <w:tcPr>
            <w:tcW w:w="1820" w:type="dxa"/>
            <w:tcBorders>
              <w:top w:val="single" w:sz="4" w:space="0" w:color="000000"/>
              <w:left w:val="single" w:sz="6" w:space="0" w:color="000000"/>
              <w:bottom w:val="single" w:sz="6" w:space="0" w:color="000000"/>
              <w:right w:val="single" w:sz="6" w:space="0" w:color="000000"/>
            </w:tcBorders>
          </w:tcPr>
          <w:p>
            <w:pPr>
              <w:pStyle w:val="PaymentSchedule"/>
              <w:widowControl w:val="false"/>
              <w:spacing w:before="80" w:after="20"/>
              <w:jc w:val="center"/>
              <w:rPr>
                <w:b/>
                <w:b/>
              </w:rPr>
            </w:pPr>
            <w:r>
              <w:rPr>
                <w:b/>
              </w:rPr>
              <w:t>After</w:t>
            </w:r>
          </w:p>
        </w:tc>
        <w:tc>
          <w:tcPr>
            <w:tcW w:w="1713" w:type="dxa"/>
            <w:tcBorders>
              <w:top w:val="single" w:sz="4" w:space="0" w:color="000000"/>
              <w:left w:val="single" w:sz="6" w:space="0" w:color="000000"/>
              <w:bottom w:val="single" w:sz="6" w:space="0" w:color="000000"/>
              <w:right w:val="single" w:sz="6" w:space="0" w:color="000000"/>
            </w:tcBorders>
          </w:tcPr>
          <w:p>
            <w:pPr>
              <w:pStyle w:val="PaymentSchedule"/>
              <w:widowControl w:val="false"/>
              <w:spacing w:before="80" w:after="20"/>
              <w:jc w:val="center"/>
              <w:rPr>
                <w:b/>
                <w:b/>
              </w:rPr>
            </w:pPr>
            <w:r>
              <w:rPr>
                <w:b/>
              </w:rPr>
              <w:t>Amount</w:t>
            </w:r>
          </w:p>
        </w:tc>
        <w:tc>
          <w:tcPr>
            <w:tcW w:w="6569" w:type="dxa"/>
            <w:vMerge w:val="restart"/>
            <w:tcBorders>
              <w:top w:val="single" w:sz="4" w:space="0" w:color="000000"/>
              <w:left w:val="single" w:sz="6" w:space="0" w:color="000000"/>
              <w:bottom w:val="single" w:sz="6" w:space="0" w:color="000000"/>
              <w:right w:val="single" w:sz="4" w:space="0" w:color="000000"/>
            </w:tcBorders>
            <w:vAlign w:val="center"/>
          </w:tcPr>
          <w:p>
            <w:pPr>
              <w:pStyle w:val="PaymentSchedule"/>
              <w:widowControl w:val="false"/>
              <w:spacing w:before="80" w:after="20"/>
              <w:rPr>
                <w:rFonts w:cs="Helvetica"/>
                <w:szCs w:val="18"/>
              </w:rPr>
            </w:pPr>
            <w:r>
              <w:rPr>
                <w:rFonts w:cs="Helvetica"/>
                <w:szCs w:val="18"/>
              </w:rPr>
              <w:t>Attempts will be made to provide a suitable roommate, but if one is not found, or if a cancellation leaves you or your roommate single</w:t>
            </w:r>
            <w:r>
              <w:rPr>
                <w:rFonts w:cs="Helvetica"/>
                <w:b/>
                <w:bCs/>
                <w:szCs w:val="18"/>
              </w:rPr>
              <w:t>, the single supplement cost will apply</w:t>
            </w:r>
            <w:r>
              <w:rPr>
                <w:rFonts w:cs="Helvetica"/>
                <w:szCs w:val="18"/>
              </w:rPr>
              <w:t xml:space="preserve"> if a suitable roommate is not available or you will have the option to cancel from the trip.</w:t>
            </w:r>
          </w:p>
        </w:tc>
      </w:tr>
      <w:tr>
        <w:trPr>
          <w:cantSplit w:val="true"/>
        </w:trPr>
        <w:tc>
          <w:tcPr>
            <w:tcW w:w="715" w:type="dxa"/>
            <w:vMerge w:val="continue"/>
            <w:tcBorders>
              <w:top w:val="single" w:sz="6" w:space="0" w:color="000000"/>
              <w:left w:val="single" w:sz="4" w:space="0" w:color="000000"/>
              <w:bottom w:val="single" w:sz="6" w:space="0" w:color="000000"/>
              <w:right w:val="single" w:sz="6" w:space="0" w:color="000000"/>
            </w:tcBorders>
          </w:tcPr>
          <w:p>
            <w:pPr>
              <w:pStyle w:val="PaymentSchedule"/>
              <w:widowControl w:val="false"/>
              <w:spacing w:before="20" w:after="20"/>
              <w:rPr/>
            </w:pPr>
            <w:r>
              <w:rPr/>
            </w:r>
          </w:p>
        </w:tc>
        <w:tc>
          <w:tcPr>
            <w:tcW w:w="1820" w:type="dxa"/>
            <w:tcBorders>
              <w:top w:val="single" w:sz="6" w:space="0" w:color="000000"/>
              <w:left w:val="single" w:sz="6" w:space="0" w:color="000000"/>
              <w:bottom w:val="single" w:sz="6" w:space="0" w:color="000000"/>
              <w:right w:val="single" w:sz="6" w:space="0" w:color="000000"/>
            </w:tcBorders>
          </w:tcPr>
          <w:p>
            <w:pPr>
              <w:pStyle w:val="PaymentSchedule"/>
              <w:widowControl w:val="false"/>
              <w:spacing w:before="20" w:after="20"/>
              <w:rPr/>
            </w:pPr>
            <w:r>
              <w:rPr/>
              <w:t>September 20</w:t>
            </w:r>
            <w:r>
              <w:rPr>
                <w:vertAlign w:val="superscript"/>
              </w:rPr>
              <w:t>th</w:t>
            </w:r>
            <w:r>
              <w:rPr/>
              <w:t xml:space="preserve">  </w:t>
            </w:r>
          </w:p>
        </w:tc>
        <w:tc>
          <w:tcPr>
            <w:tcW w:w="1713" w:type="dxa"/>
            <w:tcBorders>
              <w:top w:val="single" w:sz="6" w:space="0" w:color="000000"/>
              <w:left w:val="single" w:sz="6" w:space="0" w:color="000000"/>
              <w:bottom w:val="single" w:sz="6" w:space="0" w:color="000000"/>
              <w:right w:val="single" w:sz="6" w:space="0" w:color="000000"/>
            </w:tcBorders>
          </w:tcPr>
          <w:p>
            <w:pPr>
              <w:pStyle w:val="PaymentSchedule"/>
              <w:widowControl w:val="false"/>
              <w:spacing w:before="20" w:after="20"/>
              <w:jc w:val="center"/>
              <w:rPr/>
            </w:pPr>
            <w:r>
              <w:rPr/>
              <w:t>Up to $300</w:t>
            </w:r>
          </w:p>
        </w:tc>
        <w:tc>
          <w:tcPr>
            <w:tcW w:w="6569" w:type="dxa"/>
            <w:vMerge w:val="continue"/>
            <w:tcBorders>
              <w:top w:val="single" w:sz="6" w:space="0" w:color="000000"/>
              <w:left w:val="single" w:sz="6" w:space="0" w:color="000000"/>
              <w:bottom w:val="single" w:sz="6" w:space="0" w:color="000000"/>
              <w:right w:val="single" w:sz="4" w:space="0" w:color="000000"/>
            </w:tcBorders>
          </w:tcPr>
          <w:p>
            <w:pPr>
              <w:pStyle w:val="PaymentSchedule"/>
              <w:widowControl w:val="false"/>
              <w:spacing w:before="20" w:after="20"/>
              <w:jc w:val="both"/>
              <w:rPr/>
            </w:pPr>
            <w:r>
              <w:rPr/>
            </w:r>
          </w:p>
        </w:tc>
      </w:tr>
      <w:tr>
        <w:trPr>
          <w:trHeight w:val="504" w:hRule="atLeast"/>
          <w:cantSplit w:val="true"/>
        </w:trPr>
        <w:tc>
          <w:tcPr>
            <w:tcW w:w="715" w:type="dxa"/>
            <w:vMerge w:val="continue"/>
            <w:tcBorders>
              <w:top w:val="single" w:sz="6" w:space="0" w:color="000000"/>
              <w:left w:val="single" w:sz="4" w:space="0" w:color="000000"/>
              <w:bottom w:val="single" w:sz="6" w:space="0" w:color="000000"/>
              <w:right w:val="single" w:sz="6" w:space="0" w:color="000000"/>
            </w:tcBorders>
          </w:tcPr>
          <w:p>
            <w:pPr>
              <w:pStyle w:val="PaymentSchedule"/>
              <w:widowControl w:val="false"/>
              <w:spacing w:before="20" w:after="20"/>
              <w:rPr/>
            </w:pPr>
            <w:r>
              <w:rPr/>
            </w:r>
          </w:p>
        </w:tc>
        <w:tc>
          <w:tcPr>
            <w:tcW w:w="1820" w:type="dxa"/>
            <w:tcBorders>
              <w:top w:val="single" w:sz="6" w:space="0" w:color="000000"/>
              <w:left w:val="single" w:sz="6" w:space="0" w:color="000000"/>
              <w:bottom w:val="single" w:sz="6" w:space="0" w:color="000000"/>
              <w:right w:val="single" w:sz="6" w:space="0" w:color="000000"/>
            </w:tcBorders>
            <w:vAlign w:val="center"/>
          </w:tcPr>
          <w:p>
            <w:pPr>
              <w:pStyle w:val="PaymentSchedule"/>
              <w:widowControl w:val="false"/>
              <w:spacing w:before="20" w:after="20"/>
              <w:rPr/>
            </w:pPr>
            <w:r>
              <w:rPr/>
              <w:t>October 18</w:t>
            </w:r>
            <w:r>
              <w:rPr>
                <w:vertAlign w:val="superscript"/>
              </w:rPr>
              <w:t>th</w:t>
            </w:r>
          </w:p>
        </w:tc>
        <w:tc>
          <w:tcPr>
            <w:tcW w:w="1713" w:type="dxa"/>
            <w:tcBorders>
              <w:top w:val="single" w:sz="6" w:space="0" w:color="000000"/>
              <w:left w:val="single" w:sz="6" w:space="0" w:color="000000"/>
              <w:bottom w:val="single" w:sz="6" w:space="0" w:color="000000"/>
              <w:right w:val="single" w:sz="6" w:space="0" w:color="000000"/>
            </w:tcBorders>
            <w:vAlign w:val="center"/>
          </w:tcPr>
          <w:p>
            <w:pPr>
              <w:pStyle w:val="PaymentSchedule"/>
              <w:widowControl w:val="false"/>
              <w:spacing w:before="20" w:after="20"/>
              <w:jc w:val="center"/>
              <w:rPr/>
            </w:pPr>
            <w:r>
              <w:rPr/>
              <w:t>Up to $1,500</w:t>
            </w:r>
          </w:p>
        </w:tc>
        <w:tc>
          <w:tcPr>
            <w:tcW w:w="6569" w:type="dxa"/>
            <w:vMerge w:val="continue"/>
            <w:tcBorders>
              <w:top w:val="single" w:sz="6" w:space="0" w:color="000000"/>
              <w:left w:val="single" w:sz="6" w:space="0" w:color="000000"/>
              <w:bottom w:val="single" w:sz="6" w:space="0" w:color="000000"/>
              <w:right w:val="single" w:sz="4" w:space="0" w:color="000000"/>
            </w:tcBorders>
          </w:tcPr>
          <w:p>
            <w:pPr>
              <w:pStyle w:val="PaymentSchedule"/>
              <w:widowControl w:val="false"/>
              <w:spacing w:before="20" w:after="20"/>
              <w:jc w:val="both"/>
              <w:rPr/>
            </w:pPr>
            <w:r>
              <w:rPr/>
            </w:r>
          </w:p>
        </w:tc>
      </w:tr>
      <w:tr>
        <w:trPr>
          <w:cantSplit w:val="true"/>
        </w:trPr>
        <w:tc>
          <w:tcPr>
            <w:tcW w:w="715" w:type="dxa"/>
            <w:vMerge w:val="continue"/>
            <w:tcBorders>
              <w:top w:val="single" w:sz="6" w:space="0" w:color="000000"/>
              <w:left w:val="single" w:sz="4" w:space="0" w:color="000000"/>
              <w:bottom w:val="single" w:sz="6" w:space="0" w:color="000000"/>
              <w:right w:val="single" w:sz="6" w:space="0" w:color="000000"/>
            </w:tcBorders>
          </w:tcPr>
          <w:p>
            <w:pPr>
              <w:pStyle w:val="PaymentSchedule"/>
              <w:widowControl w:val="false"/>
              <w:spacing w:before="20" w:after="20"/>
              <w:rPr/>
            </w:pPr>
            <w:r>
              <w:rPr/>
            </w:r>
          </w:p>
        </w:tc>
        <w:tc>
          <w:tcPr>
            <w:tcW w:w="1820" w:type="dxa"/>
            <w:tcBorders>
              <w:top w:val="single" w:sz="6" w:space="0" w:color="000000"/>
              <w:left w:val="single" w:sz="6" w:space="0" w:color="000000"/>
              <w:bottom w:val="single" w:sz="6" w:space="0" w:color="000000"/>
              <w:right w:val="single" w:sz="6" w:space="0" w:color="000000"/>
            </w:tcBorders>
          </w:tcPr>
          <w:p>
            <w:pPr>
              <w:pStyle w:val="PaymentSchedule"/>
              <w:widowControl w:val="false"/>
              <w:spacing w:before="20" w:after="20"/>
              <w:rPr/>
            </w:pPr>
            <w:r>
              <w:rPr/>
              <w:t>After November 15</w:t>
            </w:r>
            <w:r>
              <w:rPr>
                <w:vertAlign w:val="superscript"/>
              </w:rPr>
              <w:t>th</w:t>
            </w:r>
            <w:r>
              <w:rPr/>
              <w:t xml:space="preserve"> </w:t>
            </w:r>
          </w:p>
        </w:tc>
        <w:tc>
          <w:tcPr>
            <w:tcW w:w="8282" w:type="dxa"/>
            <w:gridSpan w:val="2"/>
            <w:tcBorders>
              <w:top w:val="single" w:sz="6" w:space="0" w:color="000000"/>
              <w:left w:val="single" w:sz="6" w:space="0" w:color="000000"/>
              <w:bottom w:val="single" w:sz="6" w:space="0" w:color="000000"/>
              <w:right w:val="single" w:sz="4" w:space="0" w:color="000000"/>
            </w:tcBorders>
          </w:tcPr>
          <w:p>
            <w:pPr>
              <w:pStyle w:val="PaymentSchedule"/>
              <w:widowControl w:val="false"/>
              <w:spacing w:before="20" w:after="20"/>
              <w:rPr/>
            </w:pPr>
            <w:r>
              <w:rPr/>
              <w:t>Up to the full price of the trip plus any expenses incurred by FLSC</w:t>
            </w:r>
          </w:p>
        </w:tc>
      </w:tr>
      <w:tr>
        <w:trPr>
          <w:trHeight w:val="642" w:hRule="atLeast"/>
          <w:cantSplit w:val="true"/>
        </w:trPr>
        <w:tc>
          <w:tcPr>
            <w:tcW w:w="715" w:type="dxa"/>
            <w:vMerge w:val="continue"/>
            <w:tcBorders>
              <w:top w:val="single" w:sz="6" w:space="0" w:color="000000"/>
              <w:left w:val="single" w:sz="4" w:space="0" w:color="000000"/>
              <w:bottom w:val="single" w:sz="4" w:space="0" w:color="000000"/>
              <w:right w:val="single" w:sz="6" w:space="0" w:color="000000"/>
            </w:tcBorders>
          </w:tcPr>
          <w:p>
            <w:pPr>
              <w:pStyle w:val="PaymentSchedule"/>
              <w:widowControl w:val="false"/>
              <w:spacing w:before="20" w:after="20"/>
              <w:rPr/>
            </w:pPr>
            <w:r>
              <w:rPr/>
            </w:r>
          </w:p>
        </w:tc>
        <w:tc>
          <w:tcPr>
            <w:tcW w:w="10102" w:type="dxa"/>
            <w:gridSpan w:val="3"/>
            <w:tcBorders>
              <w:top w:val="single" w:sz="6" w:space="0" w:color="000000"/>
              <w:left w:val="single" w:sz="6" w:space="0" w:color="000000"/>
              <w:bottom w:val="single" w:sz="4" w:space="0" w:color="000000"/>
              <w:right w:val="single" w:sz="4" w:space="0" w:color="000000"/>
            </w:tcBorders>
          </w:tcPr>
          <w:p>
            <w:pPr>
              <w:pStyle w:val="FinePrint"/>
              <w:widowControl w:val="false"/>
              <w:spacing w:before="20" w:after="20"/>
              <w:rPr/>
            </w:pPr>
            <w:r>
              <w:rPr/>
              <w:t>Note: No shows will receive no refund and will be responsible for any expenses incurred by FLSC. You are not considered canceled until you have notified and been acknowledged by the trip leader</w:t>
            </w:r>
            <w:r>
              <w:rPr>
                <w:b/>
              </w:rPr>
              <w:t>.</w:t>
            </w:r>
          </w:p>
        </w:tc>
      </w:tr>
    </w:tbl>
    <w:p>
      <w:pPr>
        <w:pStyle w:val="BodySansOpenJustified"/>
        <w:rPr>
          <w:b/>
          <w:b/>
          <w:sz w:val="24"/>
        </w:rPr>
      </w:pPr>
      <w:r>
        <w:rPr>
          <w:b/>
          <w:sz w:val="24"/>
        </w:rPr>
      </w:r>
    </w:p>
    <w:p>
      <w:pPr>
        <w:pStyle w:val="BodySansOpenJustified"/>
        <w:rPr>
          <w:b/>
          <w:b/>
          <w:sz w:val="24"/>
        </w:rPr>
      </w:pPr>
      <w:r>
        <w:rPr>
          <w:b/>
          <w:sz w:val="24"/>
        </w:rPr>
        <w:t>Note: Trip Insurance is recommended. See Trip Leader for details.</w:t>
      </w:r>
    </w:p>
    <w:p>
      <w:pPr>
        <w:pStyle w:val="BodySansOpenJustified"/>
        <w:rPr>
          <w:b/>
          <w:b/>
          <w:sz w:val="24"/>
        </w:rPr>
      </w:pPr>
      <w:r>
        <w:rPr>
          <w:b/>
          <w:sz w:val="24"/>
        </w:rPr>
      </w:r>
    </w:p>
    <w:p>
      <w:pPr>
        <w:pStyle w:val="BodySansOpenJustified"/>
        <w:rPr>
          <w:sz w:val="24"/>
          <w:szCs w:val="24"/>
        </w:rPr>
      </w:pPr>
      <w:r>
        <w:rPr>
          <w:b/>
          <w:sz w:val="24"/>
          <w:szCs w:val="24"/>
        </w:rPr>
        <w:t>Make checks payable to:</w:t>
      </w:r>
      <w:r>
        <w:rPr>
          <w:sz w:val="24"/>
          <w:szCs w:val="24"/>
        </w:rPr>
        <w:t xml:space="preserve"> </w:t>
      </w:r>
      <w:r>
        <w:rPr>
          <w:b/>
          <w:sz w:val="24"/>
          <w:szCs w:val="24"/>
        </w:rPr>
        <w:t>FLSC</w:t>
      </w:r>
      <w:r>
        <w:rPr>
          <w:sz w:val="24"/>
          <w:szCs w:val="24"/>
        </w:rPr>
        <w:t xml:space="preserve"> (Fall Line Ski Club) </w:t>
      </w:r>
      <w:r>
        <w:rPr>
          <w:rFonts w:cs="Arial" w:ascii="Arial" w:hAnsi="Arial"/>
          <w:sz w:val="24"/>
          <w:szCs w:val="24"/>
        </w:rPr>
        <w:t>and put name of trip in description</w:t>
      </w:r>
      <w:r>
        <w:rPr>
          <w:sz w:val="24"/>
          <w:szCs w:val="24"/>
        </w:rPr>
        <w:t>.</w:t>
      </w:r>
    </w:p>
    <w:p>
      <w:pPr>
        <w:pStyle w:val="Normal"/>
        <w:rPr>
          <w:szCs w:val="24"/>
        </w:rPr>
      </w:pPr>
      <w:r>
        <w:rPr>
          <w:b/>
          <w:szCs w:val="24"/>
        </w:rPr>
        <w:t>Trip Leader:</w:t>
      </w:r>
      <w:r>
        <w:rPr>
          <w:szCs w:val="24"/>
        </w:rPr>
        <w:t xml:space="preserve">  Contact Steve Umansky  </w:t>
      </w:r>
      <w:r>
        <w:rPr>
          <w:szCs w:val="24"/>
          <w:u w:val="single"/>
        </w:rPr>
        <w:t>steven.umanski@yahoo.com</w:t>
      </w:r>
      <w:r>
        <w:rPr>
          <w:szCs w:val="24"/>
        </w:rPr>
        <w:t xml:space="preserve"> or Ken Koch </w:t>
      </w:r>
      <w:hyperlink r:id="rId6">
        <w:r>
          <w:rPr>
            <w:rStyle w:val="InternetLink"/>
            <w:szCs w:val="24"/>
          </w:rPr>
          <w:t>kennethkochster@gmail.com</w:t>
        </w:r>
      </w:hyperlink>
      <w:r>
        <w:rPr>
          <w:szCs w:val="24"/>
        </w:rPr>
        <w:t xml:space="preserve"> for more information.</w:t>
      </w:r>
    </w:p>
    <w:p>
      <w:pPr>
        <w:pStyle w:val="Normal"/>
        <w:rPr>
          <w:szCs w:val="24"/>
        </w:rPr>
      </w:pPr>
      <w:r>
        <w:rPr/>
        <w:t>---------------------------------------------------------------------------------------------------------------------------------</w:t>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rPr>
          <w:szCs w:val="24"/>
        </w:rPr>
      </w:pPr>
      <w:r>
        <w:rPr/>
      </w:r>
    </w:p>
    <w:p>
      <w:pPr>
        <w:pStyle w:val="Normal"/>
        <w:rPr>
          <w:szCs w:val="24"/>
        </w:rPr>
      </w:pPr>
      <w:r>
        <w:rPr/>
      </w:r>
    </w:p>
    <w:p>
      <w:pPr>
        <w:pStyle w:val="Normal"/>
        <w:rPr>
          <w:szCs w:val="24"/>
        </w:rPr>
      </w:pPr>
      <w:r>
        <w:rPr/>
      </w:r>
    </w:p>
    <w:p>
      <w:pPr>
        <w:pStyle w:val="Normal"/>
        <w:rPr>
          <w:szCs w:val="24"/>
        </w:rPr>
      </w:pPr>
      <w:r>
        <w:rPr/>
      </w:r>
    </w:p>
    <w:p>
      <w:pPr>
        <w:pStyle w:val="Normal"/>
        <w:rPr>
          <w:szCs w:val="24"/>
        </w:rPr>
      </w:pPr>
      <w:r>
        <w:rPr/>
        <w:t>August 16, 2023 Revisions</w:t>
      </w:r>
    </w:p>
    <w:sectPr>
      <w:type w:val="nextPage"/>
      <w:pgSz w:w="12240" w:h="15840"/>
      <w:pgMar w:left="720" w:right="720" w:gutter="0" w:header="0" w:top="720" w:footer="0" w:bottom="662"/>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New York">
    <w:charset w:val="00"/>
    <w:family w:val="roman"/>
    <w:pitch w:val="variable"/>
  </w:font>
  <w:font w:name="Helvetica">
    <w:altName w:val="Arial"/>
    <w:charset w:val="00"/>
    <w:family w:val="roman"/>
    <w:pitch w:val="variable"/>
  </w:font>
  <w:font w:name="Palatino">
    <w:charset w:val="00"/>
    <w:family w:val="roman"/>
    <w:pitch w:val="variable"/>
  </w:font>
  <w:font w:name="Impact">
    <w:charset w:val="00"/>
    <w:family w:val="roman"/>
    <w:pitch w:val="variable"/>
  </w:font>
  <w:font w:name="Tahoma">
    <w:charset w:val="00"/>
    <w:family w:val="roman"/>
    <w:pitch w:val="variable"/>
  </w:font>
  <w:font w:name="OpenSymbol">
    <w:altName w:val="Arial Unicode MS"/>
    <w:charset w:val="00"/>
    <w:family w:val="roman"/>
    <w:pitch w:val="variable"/>
    <w:embedRegular r:id="rId14" w:fontKey="{0E014A78-CABC-4EF0-12AC-5CD89AEFDE0E}"/>
  </w:font>
  <w:font w:name="Liberation Sans">
    <w:altName w:val="Arial"/>
    <w:charset w:val="00"/>
    <w:family w:val="roman"/>
    <w:pitch w:val="variable"/>
  </w:font>
  <w:font w:name="Times">
    <w:altName w:val="Times New Roman"/>
    <w:charset w:val="00"/>
    <w:family w:val="roman"/>
    <w:pitch w:val="variable"/>
  </w:font>
  <w:font w:name="Arial Narrow">
    <w:charset w:val="00"/>
    <w:family w:val="roman"/>
    <w:pitch w:val="variable"/>
  </w:font>
  <w:font w:name="Calibri">
    <w:charset w:val="00"/>
    <w:family w:val="roman"/>
    <w:pitch w:val="variable"/>
  </w:font>
  <w:font w:name="Arial">
    <w:charset w:val="00"/>
    <w:family w:val="roman"/>
    <w:pitch w:val="variable"/>
  </w:font>
  <w:font w:name="Arial">
    <w:charset w:val="0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HelveticaNeue">
    <w:charset w:val="00"/>
    <w:family w:val="roman"/>
    <w:pitch w:val="variable"/>
  </w:font>
  <w:font w:name="Zapf Dingbat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
    <w:lvl w:ilvl="0">
      <w:numFmt w:val="bullet"/>
      <w:lvlText w:val=""/>
      <w:lvlJc w:val="left"/>
      <w:pPr>
        <w:tabs>
          <w:tab w:val="num" w:pos="360"/>
        </w:tabs>
        <w:ind w:left="360" w:hanging="360"/>
      </w:pPr>
      <w:rPr>
        <w:rFonts w:ascii="Zapf Dingbats" w:hAnsi="Zapf Dingbats" w:cs="Zapf Dingbats"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embedTrueTypeFonts/>
  <w:embedSystemFonts/>
  <w:defaultTabStop w:val="720"/>
  <w:autoHyphenation w:val="true"/>
  <w:doNotHyphenateCap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New York" w:hAnsi="New York" w:eastAsia="Times New Roman" w:cs="Times New Roman"/>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43789"/>
    <w:pPr>
      <w:widowControl/>
      <w:suppressAutoHyphens w:val="true"/>
      <w:bidi w:val="0"/>
      <w:spacing w:before="0" w:after="0"/>
      <w:jc w:val="left"/>
    </w:pPr>
    <w:rPr>
      <w:rFonts w:ascii="Helvetica" w:hAnsi="Helvetica" w:eastAsia="Times New Roman" w:cs="Times New Roman"/>
      <w:color w:val="auto"/>
      <w:kern w:val="0"/>
      <w:sz w:val="24"/>
      <w:szCs w:val="20"/>
      <w:lang w:val="en-US" w:eastAsia="en-US" w:bidi="ar-SA"/>
    </w:rPr>
  </w:style>
  <w:style w:type="paragraph" w:styleId="Heading1">
    <w:name w:val="Heading 1"/>
    <w:basedOn w:val="Normal"/>
    <w:next w:val="Normal"/>
    <w:qFormat/>
    <w:rsid w:val="00643789"/>
    <w:pPr>
      <w:spacing w:before="240" w:after="0"/>
      <w:outlineLvl w:val="0"/>
    </w:pPr>
    <w:rPr>
      <w:rFonts w:ascii="Palatino" w:hAnsi="Palatino"/>
      <w:b/>
      <w:sz w:val="28"/>
      <w:u w:val="single"/>
    </w:rPr>
  </w:style>
  <w:style w:type="paragraph" w:styleId="Heading2">
    <w:name w:val="Heading 2"/>
    <w:basedOn w:val="Normal"/>
    <w:next w:val="Normal"/>
    <w:qFormat/>
    <w:rsid w:val="00643789"/>
    <w:pPr>
      <w:spacing w:before="120" w:after="0"/>
      <w:outlineLvl w:val="1"/>
    </w:pPr>
    <w:rPr>
      <w:rFonts w:ascii="Palatino" w:hAnsi="Palatino"/>
      <w:b/>
      <w:sz w:val="28"/>
    </w:rPr>
  </w:style>
  <w:style w:type="paragraph" w:styleId="Heading3">
    <w:name w:val="Heading 3"/>
    <w:basedOn w:val="Normal"/>
    <w:next w:val="Normal"/>
    <w:qFormat/>
    <w:rsid w:val="00643789"/>
    <w:pPr>
      <w:spacing w:before="240" w:after="0"/>
      <w:ind w:left="360" w:hanging="0"/>
      <w:outlineLvl w:val="2"/>
    </w:pPr>
    <w:rPr>
      <w:rFonts w:ascii="Palatino" w:hAnsi="Palatino"/>
      <w:b/>
      <w:sz w:val="28"/>
    </w:rPr>
  </w:style>
  <w:style w:type="paragraph" w:styleId="Heading4">
    <w:name w:val="Heading 4"/>
    <w:basedOn w:val="Normal"/>
    <w:next w:val="Normal"/>
    <w:qFormat/>
    <w:rsid w:val="00643789"/>
    <w:pPr>
      <w:spacing w:before="240" w:after="0"/>
      <w:ind w:left="360" w:hanging="0"/>
      <w:outlineLvl w:val="3"/>
    </w:pPr>
    <w:rPr>
      <w:rFonts w:ascii="Palatino" w:hAnsi="Palatino"/>
      <w:sz w:val="28"/>
      <w:u w:val="single"/>
    </w:rPr>
  </w:style>
  <w:style w:type="paragraph" w:styleId="Heading5">
    <w:name w:val="Heading 5"/>
    <w:basedOn w:val="Normal"/>
    <w:next w:val="Normal"/>
    <w:qFormat/>
    <w:rsid w:val="00643789"/>
    <w:pPr>
      <w:keepNext w:val="true"/>
      <w:tabs>
        <w:tab w:val="clear" w:pos="720"/>
        <w:tab w:val="right" w:pos="9990" w:leader="none"/>
      </w:tabs>
      <w:outlineLvl w:val="4"/>
    </w:pPr>
    <w:rPr>
      <w:rFonts w:ascii="Impact" w:hAnsi="Impact"/>
      <w:sz w:val="96"/>
    </w:rPr>
  </w:style>
  <w:style w:type="paragraph" w:styleId="Heading6">
    <w:name w:val="Heading 6"/>
    <w:basedOn w:val="Normal"/>
    <w:next w:val="Normal"/>
    <w:qFormat/>
    <w:rsid w:val="00643789"/>
    <w:pPr>
      <w:keepNext w:val="true"/>
      <w:tabs>
        <w:tab w:val="clear" w:pos="720"/>
        <w:tab w:val="left" w:pos="4410" w:leader="none"/>
      </w:tabs>
      <w:outlineLvl w:val="5"/>
    </w:pPr>
    <w:rPr>
      <w:b/>
      <w:sz w:val="22"/>
    </w:rPr>
  </w:style>
  <w:style w:type="character" w:styleId="DefaultParagraphFont" w:default="1">
    <w:name w:val="Default Paragraph Font"/>
    <w:uiPriority w:val="1"/>
    <w:semiHidden/>
    <w:unhideWhenUsed/>
    <w:qFormat/>
    <w:rPr/>
  </w:style>
  <w:style w:type="character" w:styleId="InternetLink">
    <w:name w:val="Hyperlink"/>
    <w:rsid w:val="00fe186f"/>
    <w:rPr>
      <w:color w:val="0000FF"/>
      <w:u w:val="single"/>
    </w:rPr>
  </w:style>
  <w:style w:type="character" w:styleId="BalloonTextChar" w:customStyle="1">
    <w:name w:val="Balloon Text Char"/>
    <w:basedOn w:val="DefaultParagraphFont"/>
    <w:link w:val="BalloonText"/>
    <w:uiPriority w:val="99"/>
    <w:semiHidden/>
    <w:qFormat/>
    <w:rsid w:val="00724030"/>
    <w:rPr>
      <w:rFonts w:ascii="Tahoma" w:hAnsi="Tahoma" w:cs="Tahoma"/>
      <w:sz w:val="16"/>
      <w:szCs w:val="16"/>
    </w:rPr>
  </w:style>
  <w:style w:type="character" w:styleId="Xbe" w:customStyle="1">
    <w:name w:val="_xbe"/>
    <w:basedOn w:val="DefaultParagraphFont"/>
    <w:qFormat/>
    <w:rsid w:val="00c523a0"/>
    <w:rPr/>
  </w:style>
  <w:style w:type="character" w:styleId="Eieduf" w:customStyle="1">
    <w:name w:val="eieduf"/>
    <w:basedOn w:val="DefaultParagraphFont"/>
    <w:qFormat/>
    <w:rsid w:val="00d514f1"/>
    <w:rPr/>
  </w:style>
  <w:style w:type="character" w:styleId="Lnmzfb" w:customStyle="1">
    <w:name w:val="lnmzfb"/>
    <w:basedOn w:val="DefaultParagraphFont"/>
    <w:qFormat/>
    <w:rsid w:val="00d514f1"/>
    <w:rPr/>
  </w:style>
  <w:style w:type="character" w:styleId="UnresolvedMention1" w:customStyle="1">
    <w:name w:val="Unresolved Mention1"/>
    <w:basedOn w:val="DefaultParagraphFont"/>
    <w:uiPriority w:val="99"/>
    <w:semiHidden/>
    <w:unhideWhenUsed/>
    <w:qFormat/>
    <w:rsid w:val="00503fd0"/>
    <w:rPr>
      <w:color w:val="605E5C"/>
      <w:shd w:fill="E1DFDD" w:val="clear"/>
    </w:rPr>
  </w:style>
  <w:style w:type="character" w:styleId="UnresolvedMention">
    <w:name w:val="Unresolved Mention"/>
    <w:basedOn w:val="DefaultParagraphFont"/>
    <w:uiPriority w:val="99"/>
    <w:semiHidden/>
    <w:unhideWhenUsed/>
    <w:qFormat/>
    <w:rsid w:val="007a3ad5"/>
    <w:rPr>
      <w:color w:val="605E5C"/>
      <w:shd w:fill="E1DFDD" w:val="clear"/>
    </w:rPr>
  </w:style>
  <w:style w:type="character" w:styleId="Strong">
    <w:name w:val="Strong"/>
    <w:qFormat/>
    <w:rPr>
      <w:b/>
      <w:bCs/>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rsid w:val="00643789"/>
    <w:pPr/>
    <w:rPr>
      <w:i/>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 w:type="paragraph" w:styleId="ChangeBar" w:customStyle="1">
    <w:name w:val="Change Bar"/>
    <w:basedOn w:val="Normal"/>
    <w:qFormat/>
    <w:rsid w:val="00643789"/>
    <w:pPr>
      <w:pBdr>
        <w:left w:val="single" w:sz="12" w:space="0" w:color="000000"/>
      </w:pBdr>
      <w:spacing w:before="240" w:after="0"/>
      <w:jc w:val="both"/>
    </w:pPr>
    <w:rPr>
      <w:rFonts w:ascii="Times" w:hAnsi="Times"/>
    </w:rPr>
  </w:style>
  <w:style w:type="paragraph" w:styleId="Quoted" w:customStyle="1">
    <w:name w:val="Quoted"/>
    <w:basedOn w:val="Normal"/>
    <w:next w:val="Normal"/>
    <w:qFormat/>
    <w:rsid w:val="00643789"/>
    <w:pPr>
      <w:spacing w:before="240" w:after="0"/>
      <w:ind w:left="720" w:right="740" w:hanging="0"/>
    </w:pPr>
    <w:rPr>
      <w:rFonts w:ascii="Palatino" w:hAnsi="Palatino"/>
    </w:rPr>
  </w:style>
  <w:style w:type="paragraph" w:styleId="Bullet" w:customStyle="1">
    <w:name w:val="Bullet"/>
    <w:basedOn w:val="Normal"/>
    <w:qFormat/>
    <w:rsid w:val="00643789"/>
    <w:pPr>
      <w:spacing w:before="240" w:after="0"/>
      <w:ind w:left="540" w:hanging="540"/>
    </w:pPr>
    <w:rPr>
      <w:sz w:val="28"/>
    </w:rPr>
  </w:style>
  <w:style w:type="paragraph" w:styleId="BoldSans18" w:customStyle="1">
    <w:name w:val="BoldSans18"/>
    <w:basedOn w:val="Normal"/>
    <w:qFormat/>
    <w:rsid w:val="00643789"/>
    <w:pPr>
      <w:spacing w:before="0" w:after="80"/>
    </w:pPr>
    <w:rPr>
      <w:b/>
      <w:sz w:val="36"/>
    </w:rPr>
  </w:style>
  <w:style w:type="paragraph" w:styleId="BodySansOpenJustified" w:customStyle="1">
    <w:name w:val="BodySansOpenJustified"/>
    <w:basedOn w:val="Normal"/>
    <w:qFormat/>
    <w:rsid w:val="00643789"/>
    <w:pPr>
      <w:spacing w:before="120" w:after="0"/>
      <w:jc w:val="both"/>
    </w:pPr>
    <w:rPr>
      <w:sz w:val="20"/>
    </w:rPr>
  </w:style>
  <w:style w:type="paragraph" w:styleId="Bullet12" w:customStyle="1">
    <w:name w:val="Bullet12"/>
    <w:basedOn w:val="Bullet"/>
    <w:qFormat/>
    <w:rsid w:val="00643789"/>
    <w:pPr>
      <w:spacing w:before="80" w:after="0"/>
    </w:pPr>
    <w:rPr>
      <w:sz w:val="24"/>
    </w:rPr>
  </w:style>
  <w:style w:type="paragraph" w:styleId="Centered18" w:customStyle="1">
    <w:name w:val="Centered18"/>
    <w:basedOn w:val="Normal"/>
    <w:qFormat/>
    <w:rsid w:val="00643789"/>
    <w:pPr>
      <w:spacing w:before="60" w:after="20"/>
      <w:jc w:val="center"/>
    </w:pPr>
    <w:rPr>
      <w:sz w:val="36"/>
    </w:rPr>
  </w:style>
  <w:style w:type="paragraph" w:styleId="FinePrint" w:customStyle="1">
    <w:name w:val="FinePrint"/>
    <w:basedOn w:val="Normal"/>
    <w:qFormat/>
    <w:rsid w:val="00643789"/>
    <w:pPr>
      <w:tabs>
        <w:tab w:val="clear" w:pos="720"/>
        <w:tab w:val="center" w:pos="2400" w:leader="none"/>
        <w:tab w:val="right" w:pos="10206" w:leader="underscore"/>
      </w:tabs>
      <w:spacing w:before="20" w:after="20"/>
    </w:pPr>
    <w:rPr>
      <w:rFonts w:ascii="Arial Narrow" w:hAnsi="Arial Narrow"/>
      <w:sz w:val="20"/>
    </w:rPr>
  </w:style>
  <w:style w:type="paragraph" w:styleId="CancellationPolicy" w:customStyle="1">
    <w:name w:val="Cancellation Policy"/>
    <w:basedOn w:val="PaymentSchedule"/>
    <w:qFormat/>
    <w:rsid w:val="00643789"/>
    <w:pPr/>
    <w:rPr/>
  </w:style>
  <w:style w:type="paragraph" w:styleId="PaymentSchedule" w:customStyle="1">
    <w:name w:val="Payment Schedule"/>
    <w:basedOn w:val="BodySansOpenJustified"/>
    <w:qFormat/>
    <w:rsid w:val="00643789"/>
    <w:pPr>
      <w:spacing w:before="20" w:after="20"/>
      <w:jc w:val="left"/>
    </w:pPr>
    <w:rPr>
      <w:sz w:val="18"/>
    </w:rPr>
  </w:style>
  <w:style w:type="paragraph" w:styleId="ListBullet">
    <w:name w:val="List Bullet"/>
    <w:basedOn w:val="Normal"/>
    <w:autoRedefine/>
    <w:qFormat/>
    <w:rsid w:val="00643789"/>
    <w:pPr>
      <w:numPr>
        <w:ilvl w:val="0"/>
        <w:numId w:val="1"/>
      </w:numPr>
    </w:pPr>
    <w:rPr/>
  </w:style>
  <w:style w:type="paragraph" w:styleId="TableContents">
    <w:name w:val="Table Contents"/>
    <w:basedOn w:val="Normal"/>
    <w:qFormat/>
    <w:pPr/>
    <w:rPr/>
  </w:style>
  <w:style w:type="paragraph" w:styleId="TableHeading" w:customStyle="1">
    <w:name w:val="Table Heading"/>
    <w:basedOn w:val="BodySansOpenJustified"/>
    <w:qFormat/>
    <w:rsid w:val="00643789"/>
    <w:pPr/>
    <w:rPr>
      <w:b/>
      <w:sz w:val="24"/>
    </w:rPr>
  </w:style>
  <w:style w:type="paragraph" w:styleId="PreferenceCheckboxes" w:customStyle="1">
    <w:name w:val="Preference Checkboxes"/>
    <w:basedOn w:val="Normal"/>
    <w:qFormat/>
    <w:rsid w:val="00643789"/>
    <w:pPr>
      <w:tabs>
        <w:tab w:val="clear" w:pos="720"/>
        <w:tab w:val="right" w:pos="5980" w:leader="underscore"/>
        <w:tab w:val="left" w:pos="6200" w:leader="none"/>
        <w:tab w:val="right" w:pos="10206" w:leader="underscore"/>
      </w:tabs>
      <w:spacing w:before="80" w:after="80"/>
    </w:pPr>
    <w:rPr>
      <w:b/>
    </w:rPr>
  </w:style>
  <w:style w:type="paragraph" w:styleId="Bullet2" w:customStyle="1">
    <w:name w:val="Bullet2"/>
    <w:basedOn w:val="Bullet12"/>
    <w:qFormat/>
    <w:rsid w:val="00643789"/>
    <w:pPr>
      <w:numPr>
        <w:ilvl w:val="0"/>
        <w:numId w:val="2"/>
      </w:numPr>
      <w:spacing w:before="40" w:after="0"/>
    </w:pPr>
    <w:rPr/>
  </w:style>
  <w:style w:type="paragraph" w:styleId="TightHeading" w:customStyle="1">
    <w:name w:val="Tight Heading"/>
    <w:basedOn w:val="Normal"/>
    <w:qFormat/>
    <w:rsid w:val="00643789"/>
    <w:pPr>
      <w:tabs>
        <w:tab w:val="clear" w:pos="720"/>
        <w:tab w:val="right" w:pos="5940" w:leader="underscore"/>
        <w:tab w:val="left" w:pos="6210" w:leader="none"/>
        <w:tab w:val="right" w:pos="10206" w:leader="underscore"/>
      </w:tabs>
      <w:spacing w:before="40" w:after="0"/>
    </w:pPr>
    <w:rPr>
      <w:b/>
    </w:rPr>
  </w:style>
  <w:style w:type="paragraph" w:styleId="HeadingPageBreak" w:customStyle="1">
    <w:name w:val="HeadingPageBreak"/>
    <w:basedOn w:val="TableHeading"/>
    <w:qFormat/>
    <w:rsid w:val="00643789"/>
    <w:pPr>
      <w:pageBreakBefore/>
      <w:pBdr>
        <w:bottom w:val="single" w:sz="4" w:space="1" w:color="000000"/>
      </w:pBdr>
      <w:spacing w:before="0" w:after="0"/>
      <w:outlineLvl w:val="0"/>
    </w:pPr>
    <w:rPr/>
  </w:style>
  <w:style w:type="paragraph" w:styleId="EarlySignupPrice" w:customStyle="1">
    <w:name w:val="Early Signup Price"/>
    <w:basedOn w:val="Normal"/>
    <w:qFormat/>
    <w:rsid w:val="00643789"/>
    <w:pPr>
      <w:spacing w:before="20" w:after="0"/>
    </w:pPr>
    <w:rPr>
      <w:b/>
      <w:i/>
      <w:sz w:val="48"/>
    </w:rPr>
  </w:style>
  <w:style w:type="paragraph" w:styleId="NormalPrice" w:customStyle="1">
    <w:name w:val="Normal Price"/>
    <w:basedOn w:val="EarlySignupPrice"/>
    <w:qFormat/>
    <w:rsid w:val="00643789"/>
    <w:pPr/>
    <w:rPr>
      <w:b w:val="false"/>
    </w:rPr>
  </w:style>
  <w:style w:type="paragraph" w:styleId="PriceExplanation" w:customStyle="1">
    <w:name w:val="Price Explanation"/>
    <w:basedOn w:val="BoldSans18"/>
    <w:qFormat/>
    <w:rsid w:val="00643789"/>
    <w:pPr>
      <w:spacing w:before="20" w:after="0"/>
      <w:jc w:val="both"/>
    </w:pPr>
    <w:rPr>
      <w:b w:val="false"/>
      <w:i/>
      <w:sz w:val="28"/>
    </w:rPr>
  </w:style>
  <w:style w:type="paragraph" w:styleId="ColumnTitle" w:customStyle="1">
    <w:name w:val="Column Title"/>
    <w:basedOn w:val="PaymentSchedule"/>
    <w:qFormat/>
    <w:rsid w:val="00643789"/>
    <w:pPr>
      <w:spacing w:before="240" w:after="20"/>
    </w:pPr>
    <w:rPr>
      <w:b/>
      <w:u w:val="single"/>
    </w:rPr>
  </w:style>
  <w:style w:type="paragraph" w:styleId="BodySansClosedJustified" w:customStyle="1">
    <w:name w:val="BodySansClosedJustified"/>
    <w:basedOn w:val="BodySansOpenJustified"/>
    <w:qFormat/>
    <w:rsid w:val="00643789"/>
    <w:pPr>
      <w:spacing w:before="0" w:after="0"/>
    </w:pPr>
    <w:rPr/>
  </w:style>
  <w:style w:type="paragraph" w:styleId="TableHeadingVertical" w:customStyle="1">
    <w:name w:val="Table Heading Vertical"/>
    <w:basedOn w:val="TableHeading"/>
    <w:qFormat/>
    <w:rsid w:val="00643789"/>
    <w:pPr>
      <w:spacing w:before="0" w:after="0"/>
      <w:ind w:left="40" w:right="40" w:hanging="0"/>
    </w:pPr>
    <w:rPr/>
  </w:style>
  <w:style w:type="paragraph" w:styleId="BalloonText">
    <w:name w:val="Balloon Text"/>
    <w:basedOn w:val="Normal"/>
    <w:link w:val="BalloonTextChar"/>
    <w:uiPriority w:val="99"/>
    <w:semiHidden/>
    <w:unhideWhenUsed/>
    <w:qFormat/>
    <w:rsid w:val="00724030"/>
    <w:pPr/>
    <w:rPr>
      <w:rFonts w:ascii="Tahoma" w:hAnsi="Tahoma" w:cs="Tahoma"/>
      <w:sz w:val="16"/>
      <w:szCs w:val="16"/>
    </w:rPr>
  </w:style>
  <w:style w:type="paragraph" w:styleId="ListParagraph">
    <w:name w:val="List Paragraph"/>
    <w:basedOn w:val="Normal"/>
    <w:uiPriority w:val="34"/>
    <w:qFormat/>
    <w:rsid w:val="00f20ca4"/>
    <w:pPr>
      <w:spacing w:lineRule="auto" w:line="259" w:before="0" w:after="160"/>
      <w:ind w:left="720" w:hanging="0"/>
      <w:contextualSpacing/>
    </w:pPr>
    <w:rPr>
      <w:rFonts w:ascii="Calibri" w:hAnsi="Calibri" w:eastAsia="Calibri" w:cs="" w:asciiTheme="minorHAnsi" w:cstheme="minorBidi" w:eastAsiaTheme="minorHAnsi" w:hAnsiTheme="minorHAnsi"/>
      <w:sz w:val="22"/>
      <w:szCs w:val="22"/>
    </w:rPr>
  </w:style>
  <w:style w:type="paragraph" w:styleId="Default" w:customStyle="1">
    <w:name w:val="Default"/>
    <w:qFormat/>
    <w:rsid w:val="00950ce0"/>
    <w:pPr>
      <w:widowControl/>
      <w:suppressAutoHyphens w:val="true"/>
      <w:bidi w:val="0"/>
      <w:spacing w:before="0" w:after="0"/>
      <w:jc w:val="left"/>
    </w:pPr>
    <w:rPr>
      <w:rFonts w:ascii="Arial" w:hAnsi="Arial" w:eastAsia="Times New Roman" w:cs="Arial"/>
      <w:color w:val="000000"/>
      <w:kern w:val="0"/>
      <w:sz w:val="24"/>
      <w:szCs w:val="24"/>
      <w:lang w:val="en-US" w:eastAsia="en-US" w:bidi="ar-SA"/>
    </w:rPr>
  </w:style>
  <w:style w:type="paragraph" w:styleId="NormalWeb">
    <w:name w:val="Normal (Web)"/>
    <w:basedOn w:val="Normal"/>
    <w:uiPriority w:val="99"/>
    <w:semiHidden/>
    <w:unhideWhenUsed/>
    <w:qFormat/>
    <w:rsid w:val="0012373b"/>
    <w:pPr>
      <w:spacing w:beforeAutospacing="1" w:afterAutospacing="1"/>
    </w:pPr>
    <w:rPr>
      <w:rFonts w:ascii="Times New Roman" w:hAnsi="Times New Roman"/>
      <w:szCs w:val="24"/>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454d5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yperlink" Target="mailto:kennethkochster@gmail.com" TargetMode="Externa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Relationship Id="rId12" Type="http://schemas.openxmlformats.org/officeDocument/2006/relationships/customXml" Target="../customXml/item2.xml"/><Relationship Id="rId13" Type="http://schemas.openxmlformats.org/officeDocument/2006/relationships/customXml" Target="../customXml/item3.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C8ACA4EAADB6489EB829D21020259F" ma:contentTypeVersion="13" ma:contentTypeDescription="Create a new document." ma:contentTypeScope="" ma:versionID="df1f7758e13a46086fd5c66c0a2d3ab9">
  <xsd:schema xmlns:xsd="http://www.w3.org/2001/XMLSchema" xmlns:xs="http://www.w3.org/2001/XMLSchema" xmlns:p="http://schemas.microsoft.com/office/2006/metadata/properties" xmlns:ns3="6c60c43f-ab7a-472f-9e5e-1371871cf489" xmlns:ns4="3de90f6d-8146-444d-afed-19dd9d763000" targetNamespace="http://schemas.microsoft.com/office/2006/metadata/properties" ma:root="true" ma:fieldsID="ed2c6d16bd8efe0bb89585ea1a31f3fb" ns3:_="" ns4:_="">
    <xsd:import namespace="6c60c43f-ab7a-472f-9e5e-1371871cf489"/>
    <xsd:import namespace="3de90f6d-8146-444d-afed-19dd9d76300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0c43f-ab7a-472f-9e5e-1371871cf4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e90f6d-8146-444d-afed-19dd9d76300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4A665E-C68E-4B26-93E2-A7D163BB22A6}">
  <ds:schemaRefs>
    <ds:schemaRef ds:uri="http://schemas.microsoft.com/sharepoint/v3/contenttype/forms"/>
  </ds:schemaRefs>
</ds:datastoreItem>
</file>

<file path=customXml/itemProps2.xml><?xml version="1.0" encoding="utf-8"?>
<ds:datastoreItem xmlns:ds="http://schemas.openxmlformats.org/officeDocument/2006/customXml" ds:itemID="{776F3AFC-ADA0-45FC-B342-4204A00D53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0c43f-ab7a-472f-9e5e-1371871cf489"/>
    <ds:schemaRef ds:uri="3de90f6d-8146-444d-afed-19dd9d7630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354701-B010-41E1-A27B-B6AE8FC4AAE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2341</TotalTime>
  <Application>LibreOffice/7.4.2.3$Windows_X86_64 LibreOffice_project/382eef1f22670f7f4118c8c2dd222ec7ad009daf</Application>
  <AppVersion>15.0000</AppVersion>
  <Pages>3</Pages>
  <Words>942</Words>
  <Characters>4736</Characters>
  <CharactersWithSpaces>6655</CharactersWithSpaces>
  <Paragraphs>101</Paragraphs>
  <Company>Fall Line Ski Club</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2022-06-07T12:53:00Z</dcterms:created>
  <dc:creator>Kathie Read</dc:creator>
  <dc:description/>
  <dc:language>en-US</dc:language>
  <cp:lastModifiedBy/>
  <cp:lastPrinted>2022-07-13T02:00:00Z</cp:lastPrinted>
  <dcterms:modified xsi:type="dcterms:W3CDTF">2023-08-16T14:48:51Z</dcterms:modified>
  <cp:revision>90</cp:revision>
  <dc:subject/>
  <dc:title>Trip Info Sheet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0x01010017C8ACA4EAADB6489EB829D21020259F</vt:lpwstr>
  </property>
</Properties>
</file>